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64" w:rsidRDefault="00E57421">
      <w:pPr>
        <w:pStyle w:val="1"/>
      </w:pPr>
      <w:bookmarkStart w:id="0" w:name="_Toc29399"/>
      <w:bookmarkStart w:id="1" w:name="_GoBack"/>
      <w:bookmarkEnd w:id="1"/>
      <w:r>
        <w:rPr>
          <w:rFonts w:hint="eastAsia"/>
        </w:rPr>
        <w:t>广州市城市更新单元详细规划编制指引</w:t>
      </w:r>
      <w:bookmarkEnd w:id="0"/>
    </w:p>
    <w:p w:rsidR="00BD0664" w:rsidRDefault="00BD0664">
      <w:pPr>
        <w:spacing w:line="560" w:lineRule="exact"/>
        <w:jc w:val="center"/>
        <w:rPr>
          <w:rFonts w:ascii="仿宋_GB2312" w:hAnsi="仿宋"/>
          <w:szCs w:val="32"/>
        </w:rPr>
      </w:pPr>
    </w:p>
    <w:p w:rsidR="00BD0664" w:rsidRDefault="00E57421">
      <w:pPr>
        <w:snapToGrid w:val="0"/>
        <w:spacing w:line="560" w:lineRule="exact"/>
        <w:ind w:firstLineChars="200" w:firstLine="640"/>
        <w:rPr>
          <w:rFonts w:eastAsia="黑体"/>
          <w:szCs w:val="32"/>
        </w:rPr>
      </w:pPr>
      <w:bookmarkStart w:id="2" w:name="_Toc42106315"/>
      <w:r>
        <w:rPr>
          <w:rFonts w:eastAsia="黑体"/>
          <w:szCs w:val="32"/>
        </w:rPr>
        <w:t>一、总则</w:t>
      </w:r>
      <w:bookmarkEnd w:id="2"/>
    </w:p>
    <w:p w:rsidR="00BD0664" w:rsidRDefault="00E57421">
      <w:pPr>
        <w:overflowPunct w:val="0"/>
        <w:spacing w:line="560" w:lineRule="exact"/>
        <w:ind w:firstLineChars="200" w:firstLine="640"/>
        <w:rPr>
          <w:rFonts w:eastAsia="楷体"/>
          <w:bCs/>
        </w:rPr>
      </w:pPr>
      <w:bookmarkStart w:id="3" w:name="_Toc12155"/>
      <w:bookmarkStart w:id="4" w:name="_Toc3965"/>
      <w:bookmarkStart w:id="5" w:name="_Toc29611"/>
      <w:bookmarkStart w:id="6" w:name="_Toc32355"/>
      <w:bookmarkStart w:id="7" w:name="_Toc33564439"/>
      <w:bookmarkStart w:id="8" w:name="_Toc42106316"/>
      <w:r>
        <w:rPr>
          <w:rFonts w:eastAsia="楷体"/>
          <w:bCs/>
        </w:rPr>
        <w:t>（一）</w:t>
      </w:r>
      <w:bookmarkEnd w:id="3"/>
      <w:bookmarkEnd w:id="4"/>
      <w:bookmarkEnd w:id="5"/>
      <w:bookmarkEnd w:id="6"/>
      <w:bookmarkEnd w:id="7"/>
      <w:bookmarkEnd w:id="8"/>
      <w:r>
        <w:rPr>
          <w:rFonts w:eastAsia="楷体" w:hint="eastAsia"/>
          <w:bCs/>
        </w:rPr>
        <w:t>工作目标。</w:t>
      </w:r>
    </w:p>
    <w:p w:rsidR="00BD0664" w:rsidRDefault="00E57421">
      <w:pPr>
        <w:tabs>
          <w:tab w:val="left" w:pos="3055"/>
        </w:tabs>
        <w:spacing w:line="560" w:lineRule="exact"/>
        <w:ind w:firstLineChars="200" w:firstLine="640"/>
        <w:rPr>
          <w:bCs/>
          <w:szCs w:val="32"/>
        </w:rPr>
      </w:pPr>
      <w:r>
        <w:rPr>
          <w:rFonts w:ascii="仿宋_GB2312" w:hAnsi="仿宋_GB2312" w:cs="仿宋_GB2312" w:hint="eastAsia"/>
          <w:szCs w:val="32"/>
        </w:rPr>
        <w:t>为</w:t>
      </w:r>
      <w:r>
        <w:rPr>
          <w:szCs w:val="32"/>
        </w:rPr>
        <w:t>规范广州市城市更新单元详细规划的编制，进一步加强规划统领，保证城市更新单元详细规划的规范性、科学性和有效性，</w:t>
      </w:r>
      <w:r>
        <w:rPr>
          <w:rFonts w:hint="eastAsia"/>
          <w:szCs w:val="32"/>
        </w:rPr>
        <w:t>落实</w:t>
      </w:r>
      <w:r>
        <w:rPr>
          <w:szCs w:val="32"/>
        </w:rPr>
        <w:t>国土空间规划、城市更新相关政策、技术规范</w:t>
      </w:r>
      <w:r>
        <w:rPr>
          <w:rFonts w:hint="eastAsia"/>
          <w:szCs w:val="32"/>
        </w:rPr>
        <w:t>等要求</w:t>
      </w:r>
      <w:r>
        <w:rPr>
          <w:bCs/>
          <w:szCs w:val="32"/>
        </w:rPr>
        <w:t>。</w:t>
      </w:r>
    </w:p>
    <w:p w:rsidR="00BD0664" w:rsidRDefault="00E57421">
      <w:pPr>
        <w:tabs>
          <w:tab w:val="left" w:pos="3055"/>
        </w:tabs>
        <w:spacing w:line="560" w:lineRule="exact"/>
        <w:ind w:firstLineChars="150" w:firstLine="480"/>
        <w:rPr>
          <w:bCs/>
          <w:szCs w:val="32"/>
        </w:rPr>
      </w:pPr>
      <w:r>
        <w:rPr>
          <w:rFonts w:ascii="仿宋_GB2312" w:hAnsi="仿宋_GB2312" w:cs="仿宋_GB2312" w:hint="eastAsia"/>
          <w:bCs/>
          <w:szCs w:val="32"/>
        </w:rPr>
        <w:t>城市更新单元是</w:t>
      </w:r>
      <w:r>
        <w:rPr>
          <w:bCs/>
          <w:szCs w:val="32"/>
        </w:rPr>
        <w:t>国土空间详细规划单元的一种类型，以低效存量用地再开发利用（城市更新改造项目）为主。鉴于</w:t>
      </w:r>
      <w:r>
        <w:rPr>
          <w:szCs w:val="32"/>
        </w:rPr>
        <w:t>其特殊性，涉及改造主体、政府、社会公众、合作企业等多方权益，比其他国土空间详细规划单元情况更加复杂，其规划须统筹考虑多方面因素，</w:t>
      </w:r>
      <w:r>
        <w:rPr>
          <w:bCs/>
          <w:szCs w:val="32"/>
        </w:rPr>
        <w:t>除需按照国土空间详细规划的技术规范要求编制外，还需对城市更新单元的的目标定位、改造模式、规划指标、公共配套、土地整备、经济测算、区域统筹及分期实施等方面做出细化安排。</w:t>
      </w:r>
    </w:p>
    <w:p w:rsidR="00BD0664" w:rsidRDefault="00E57421">
      <w:pPr>
        <w:tabs>
          <w:tab w:val="left" w:pos="3055"/>
        </w:tabs>
        <w:spacing w:line="560" w:lineRule="exact"/>
        <w:ind w:firstLineChars="200" w:firstLine="640"/>
        <w:rPr>
          <w:szCs w:val="32"/>
        </w:rPr>
      </w:pPr>
      <w:r>
        <w:rPr>
          <w:szCs w:val="32"/>
        </w:rPr>
        <w:t>落实《广东省深</w:t>
      </w:r>
      <w:r>
        <w:rPr>
          <w:rFonts w:ascii="仿宋_GB2312" w:hAnsi="仿宋_GB2312" w:cs="仿宋_GB2312" w:hint="eastAsia"/>
          <w:szCs w:val="32"/>
        </w:rPr>
        <w:t>入推进“三旧”改</w:t>
      </w:r>
      <w:r>
        <w:rPr>
          <w:szCs w:val="32"/>
        </w:rPr>
        <w:t>造三年行动方案（</w:t>
      </w:r>
      <w:r>
        <w:rPr>
          <w:szCs w:val="32"/>
        </w:rPr>
        <w:t>2019-2021</w:t>
      </w:r>
      <w:r>
        <w:rPr>
          <w:szCs w:val="32"/>
        </w:rPr>
        <w:t>年）》（粤自然资发〔</w:t>
      </w:r>
      <w:r>
        <w:rPr>
          <w:szCs w:val="32"/>
        </w:rPr>
        <w:t>2019</w:t>
      </w:r>
      <w:r>
        <w:rPr>
          <w:szCs w:val="32"/>
        </w:rPr>
        <w:t>〕</w:t>
      </w:r>
      <w:r>
        <w:rPr>
          <w:szCs w:val="32"/>
        </w:rPr>
        <w:t>42</w:t>
      </w:r>
      <w:r>
        <w:rPr>
          <w:szCs w:val="32"/>
        </w:rPr>
        <w:t>号）关于</w:t>
      </w:r>
      <w:r>
        <w:rPr>
          <w:rFonts w:ascii="仿宋_GB2312" w:hAnsi="仿宋_GB2312" w:cs="仿宋_GB2312" w:hint="eastAsia"/>
          <w:szCs w:val="32"/>
        </w:rPr>
        <w:t>“建立健全‘单元通则</w:t>
      </w:r>
      <w:r>
        <w:rPr>
          <w:rFonts w:ascii="仿宋_GB2312" w:hAnsi="仿宋_GB2312" w:cs="仿宋_GB2312" w:hint="eastAsia"/>
          <w:szCs w:val="32"/>
        </w:rPr>
        <w:t>+</w:t>
      </w:r>
      <w:r>
        <w:rPr>
          <w:rFonts w:ascii="仿宋_GB2312" w:hAnsi="仿宋_GB2312" w:cs="仿宋_GB2312" w:hint="eastAsia"/>
          <w:szCs w:val="32"/>
        </w:rPr>
        <w:t>地块图则’的分层编制审批流程”的</w:t>
      </w:r>
      <w:r>
        <w:rPr>
          <w:szCs w:val="32"/>
        </w:rPr>
        <w:t>要求，城市更新单元详细规划</w:t>
      </w:r>
      <w:r>
        <w:rPr>
          <w:rFonts w:ascii="仿宋_GB2312" w:hAnsi="仿宋_GB2312" w:cs="仿宋_GB2312" w:hint="eastAsia"/>
          <w:szCs w:val="32"/>
        </w:rPr>
        <w:t>实行“单元详细规划</w:t>
      </w:r>
      <w:r>
        <w:rPr>
          <w:rFonts w:ascii="仿宋_GB2312" w:hAnsi="仿宋_GB2312" w:cs="仿宋_GB2312" w:hint="eastAsia"/>
          <w:szCs w:val="32"/>
        </w:rPr>
        <w:t>+</w:t>
      </w:r>
      <w:r>
        <w:rPr>
          <w:rFonts w:ascii="仿宋_GB2312" w:hAnsi="仿宋_GB2312" w:cs="仿宋_GB2312" w:hint="eastAsia"/>
          <w:szCs w:val="32"/>
        </w:rPr>
        <w:t>地块详细规划”分层编制</w:t>
      </w:r>
      <w:r>
        <w:rPr>
          <w:szCs w:val="32"/>
        </w:rPr>
        <w:t>和刚弹结合分级审批管控体系。刚性指标主要在单元导则中规定，弹性指标主要在地块图则中体现。</w:t>
      </w:r>
    </w:p>
    <w:p w:rsidR="00BD0664" w:rsidRDefault="00E57421">
      <w:pPr>
        <w:overflowPunct w:val="0"/>
        <w:spacing w:line="560" w:lineRule="exact"/>
        <w:ind w:firstLineChars="200" w:firstLine="640"/>
        <w:rPr>
          <w:rFonts w:eastAsia="楷体"/>
          <w:bCs/>
        </w:rPr>
      </w:pPr>
      <w:bookmarkStart w:id="9" w:name="_Toc13416"/>
      <w:bookmarkStart w:id="10" w:name="_Toc3570"/>
      <w:bookmarkStart w:id="11" w:name="_Toc11730"/>
      <w:bookmarkStart w:id="12" w:name="_Toc14451"/>
      <w:bookmarkStart w:id="13" w:name="_Toc42106317"/>
      <w:bookmarkStart w:id="14" w:name="_Toc33564440"/>
      <w:r>
        <w:rPr>
          <w:rFonts w:eastAsia="楷体"/>
          <w:bCs/>
        </w:rPr>
        <w:t>（二）适用范围</w:t>
      </w:r>
      <w:bookmarkEnd w:id="9"/>
      <w:bookmarkEnd w:id="10"/>
      <w:bookmarkEnd w:id="11"/>
      <w:bookmarkEnd w:id="12"/>
      <w:bookmarkEnd w:id="13"/>
      <w:bookmarkEnd w:id="14"/>
      <w:r>
        <w:rPr>
          <w:rFonts w:eastAsia="楷体" w:hint="eastAsia"/>
          <w:bCs/>
        </w:rPr>
        <w:t>。</w:t>
      </w:r>
    </w:p>
    <w:p w:rsidR="00BD0664" w:rsidRDefault="00E57421">
      <w:pPr>
        <w:tabs>
          <w:tab w:val="left" w:pos="3055"/>
        </w:tabs>
        <w:spacing w:line="560" w:lineRule="exact"/>
        <w:ind w:firstLineChars="200" w:firstLine="640"/>
        <w:rPr>
          <w:szCs w:val="32"/>
        </w:rPr>
      </w:pPr>
      <w:r>
        <w:rPr>
          <w:szCs w:val="32"/>
        </w:rPr>
        <w:t>广州市行</w:t>
      </w:r>
      <w:r>
        <w:rPr>
          <w:szCs w:val="32"/>
        </w:rPr>
        <w:t>政区域内的城市更新单元详细规划适用本指</w:t>
      </w:r>
      <w:r>
        <w:rPr>
          <w:szCs w:val="32"/>
        </w:rPr>
        <w:lastRenderedPageBreak/>
        <w:t>引。</w:t>
      </w:r>
    </w:p>
    <w:p w:rsidR="00BD0664" w:rsidRDefault="00E57421">
      <w:pPr>
        <w:overflowPunct w:val="0"/>
        <w:spacing w:line="560" w:lineRule="exact"/>
        <w:ind w:firstLineChars="200" w:firstLine="640"/>
        <w:rPr>
          <w:rFonts w:eastAsia="楷体"/>
          <w:bCs/>
        </w:rPr>
      </w:pPr>
      <w:bookmarkStart w:id="15" w:name="_Toc22739"/>
      <w:bookmarkStart w:id="16" w:name="_Toc33564441"/>
      <w:bookmarkStart w:id="17" w:name="_Toc42106318"/>
      <w:bookmarkStart w:id="18" w:name="_Toc21709"/>
      <w:bookmarkStart w:id="19" w:name="_Toc796"/>
      <w:bookmarkStart w:id="20" w:name="_Toc30473"/>
      <w:r>
        <w:rPr>
          <w:rFonts w:eastAsia="楷体"/>
          <w:bCs/>
        </w:rPr>
        <w:t>（三）编制原则</w:t>
      </w:r>
      <w:bookmarkEnd w:id="15"/>
      <w:bookmarkEnd w:id="16"/>
      <w:bookmarkEnd w:id="17"/>
      <w:bookmarkEnd w:id="18"/>
      <w:bookmarkEnd w:id="19"/>
      <w:bookmarkEnd w:id="20"/>
      <w:r>
        <w:rPr>
          <w:rFonts w:eastAsia="楷体" w:hint="eastAsia"/>
          <w:bCs/>
        </w:rPr>
        <w:t>。</w:t>
      </w:r>
    </w:p>
    <w:p w:rsidR="00BD0664" w:rsidRDefault="00E57421">
      <w:pPr>
        <w:tabs>
          <w:tab w:val="left" w:pos="3055"/>
        </w:tabs>
        <w:spacing w:line="560" w:lineRule="exact"/>
        <w:ind w:firstLineChars="200" w:firstLine="640"/>
        <w:rPr>
          <w:szCs w:val="32"/>
        </w:rPr>
      </w:pPr>
      <w:r>
        <w:rPr>
          <w:szCs w:val="32"/>
        </w:rPr>
        <w:t>1.</w:t>
      </w:r>
      <w:r>
        <w:rPr>
          <w:szCs w:val="32"/>
        </w:rPr>
        <w:t>坚持规划统筹统领，有序推进城市更新。传导落实国土空间总体规划要求，强化规划在城市建设中战略引领和刚性控制的重要作用</w:t>
      </w:r>
      <w:r>
        <w:rPr>
          <w:rFonts w:hint="eastAsia"/>
          <w:szCs w:val="32"/>
        </w:rPr>
        <w:t>。</w:t>
      </w:r>
      <w:r>
        <w:rPr>
          <w:szCs w:val="32"/>
        </w:rPr>
        <w:t>合理划定城市更新单元，科学编制详细规划，提高可实施性，高效推进城市更新改造工作。</w:t>
      </w:r>
    </w:p>
    <w:p w:rsidR="00BD0664" w:rsidRDefault="00E57421">
      <w:pPr>
        <w:tabs>
          <w:tab w:val="left" w:pos="3055"/>
        </w:tabs>
        <w:spacing w:line="560" w:lineRule="exact"/>
        <w:ind w:firstLineChars="200" w:firstLine="640"/>
        <w:rPr>
          <w:szCs w:val="32"/>
        </w:rPr>
      </w:pPr>
      <w:r>
        <w:rPr>
          <w:szCs w:val="32"/>
        </w:rPr>
        <w:t>2.</w:t>
      </w:r>
      <w:r>
        <w:rPr>
          <w:szCs w:val="32"/>
        </w:rPr>
        <w:t>保障公共利益，实现土地整备与城市更新双轮驱动。引入阳光谈判机制，以土地整备作为落实城市发展战略的重要抓手，增加土地储备资源。优先满足符合社会公共利益或产业创新发展的项目，保障城市品质化发展。</w:t>
      </w:r>
      <w:r>
        <w:rPr>
          <w:rFonts w:hint="eastAsia"/>
          <w:szCs w:val="32"/>
        </w:rPr>
        <w:t xml:space="preserve"> </w:t>
      </w:r>
    </w:p>
    <w:p w:rsidR="00BD0664" w:rsidRDefault="00E57421">
      <w:pPr>
        <w:tabs>
          <w:tab w:val="left" w:pos="3055"/>
        </w:tabs>
        <w:spacing w:line="560" w:lineRule="exact"/>
        <w:ind w:firstLineChars="200" w:firstLine="640"/>
        <w:rPr>
          <w:szCs w:val="32"/>
        </w:rPr>
      </w:pPr>
      <w:r>
        <w:rPr>
          <w:szCs w:val="32"/>
        </w:rPr>
        <w:t>3.</w:t>
      </w:r>
      <w:r>
        <w:rPr>
          <w:szCs w:val="32"/>
        </w:rPr>
        <w:t>统筹平衡多方利益，促进土地集约节约发展。在摸清</w:t>
      </w:r>
      <w:r>
        <w:rPr>
          <w:szCs w:val="32"/>
        </w:rPr>
        <w:t>底数、保障权属人利益、兼顾城市更新改造项目经济平衡的基础上，科学确定城市更新单元的管控指标体系，适度提高规划指标，合理提高存量用地空间使用效率。</w:t>
      </w:r>
    </w:p>
    <w:p w:rsidR="00BD0664" w:rsidRDefault="00E57421">
      <w:pPr>
        <w:tabs>
          <w:tab w:val="left" w:pos="3055"/>
        </w:tabs>
        <w:spacing w:line="560" w:lineRule="exact"/>
        <w:ind w:firstLineChars="200" w:firstLine="640"/>
        <w:rPr>
          <w:szCs w:val="32"/>
        </w:rPr>
      </w:pPr>
      <w:r>
        <w:rPr>
          <w:szCs w:val="22"/>
        </w:rPr>
        <w:t>4.</w:t>
      </w:r>
      <w:r>
        <w:rPr>
          <w:szCs w:val="22"/>
        </w:rPr>
        <w:t>补齐配套设施短板，推动城市品质全面提升。</w:t>
      </w:r>
      <w:r>
        <w:rPr>
          <w:rFonts w:hint="eastAsia"/>
        </w:rPr>
        <w:t>按照</w:t>
      </w:r>
      <w:r>
        <w:t>教育、医疗、</w:t>
      </w:r>
      <w:r>
        <w:rPr>
          <w:rFonts w:hint="eastAsia"/>
        </w:rPr>
        <w:t>文化、</w:t>
      </w:r>
      <w:r>
        <w:t>体育、养老等</w:t>
      </w:r>
      <w:r>
        <w:rPr>
          <w:rFonts w:hint="eastAsia"/>
        </w:rPr>
        <w:t>专项规划并结合用地情况</w:t>
      </w:r>
      <w:r>
        <w:t>高标准配置公共服务设施</w:t>
      </w:r>
      <w:r>
        <w:rPr>
          <w:szCs w:val="32"/>
        </w:rPr>
        <w:t>，</w:t>
      </w:r>
      <w:r>
        <w:rPr>
          <w:rFonts w:hint="eastAsia"/>
          <w:szCs w:val="32"/>
        </w:rPr>
        <w:t>不断</w:t>
      </w:r>
      <w:r>
        <w:rPr>
          <w:szCs w:val="32"/>
        </w:rPr>
        <w:t>完善交通、电力、通讯、环卫、</w:t>
      </w:r>
      <w:r>
        <w:rPr>
          <w:rFonts w:hint="eastAsia"/>
          <w:szCs w:val="32"/>
        </w:rPr>
        <w:t>给排水</w:t>
      </w:r>
      <w:r>
        <w:rPr>
          <w:szCs w:val="32"/>
        </w:rPr>
        <w:t>等市政基础设施。</w:t>
      </w:r>
      <w:r>
        <w:rPr>
          <w:szCs w:val="32"/>
        </w:rPr>
        <w:t xml:space="preserve"> </w:t>
      </w:r>
    </w:p>
    <w:p w:rsidR="00BD0664" w:rsidRDefault="00E57421">
      <w:pPr>
        <w:overflowPunct w:val="0"/>
        <w:spacing w:line="560" w:lineRule="exact"/>
        <w:ind w:firstLineChars="200" w:firstLine="640"/>
        <w:rPr>
          <w:rFonts w:eastAsia="楷体"/>
          <w:bCs/>
        </w:rPr>
      </w:pPr>
      <w:bookmarkStart w:id="21" w:name="_Toc33564442"/>
      <w:bookmarkStart w:id="22" w:name="_Toc33564319"/>
      <w:bookmarkStart w:id="23" w:name="_Toc20407"/>
      <w:bookmarkStart w:id="24" w:name="_Toc42106319"/>
      <w:bookmarkStart w:id="25" w:name="_Toc28368"/>
      <w:bookmarkStart w:id="26" w:name="_Toc33564443"/>
      <w:bookmarkStart w:id="27" w:name="_Toc12442"/>
      <w:bookmarkStart w:id="28" w:name="_Toc4066"/>
      <w:bookmarkEnd w:id="21"/>
      <w:bookmarkEnd w:id="22"/>
      <w:r>
        <w:rPr>
          <w:rFonts w:eastAsia="楷体"/>
          <w:bCs/>
        </w:rPr>
        <w:t>（四）指标管控</w:t>
      </w:r>
      <w:bookmarkEnd w:id="23"/>
      <w:bookmarkEnd w:id="24"/>
      <w:bookmarkEnd w:id="25"/>
      <w:bookmarkEnd w:id="26"/>
      <w:bookmarkEnd w:id="27"/>
      <w:bookmarkEnd w:id="28"/>
      <w:r>
        <w:rPr>
          <w:rFonts w:eastAsia="楷体" w:hint="eastAsia"/>
          <w:bCs/>
        </w:rPr>
        <w:t>。</w:t>
      </w:r>
    </w:p>
    <w:p w:rsidR="00BD0664" w:rsidRDefault="00E57421">
      <w:pPr>
        <w:tabs>
          <w:tab w:val="left" w:pos="3055"/>
        </w:tabs>
        <w:spacing w:line="560" w:lineRule="exact"/>
        <w:ind w:firstLineChars="201" w:firstLine="643"/>
        <w:rPr>
          <w:szCs w:val="32"/>
        </w:rPr>
      </w:pPr>
      <w:bookmarkStart w:id="29" w:name="_Hlk19655291"/>
      <w:r>
        <w:rPr>
          <w:bCs/>
          <w:szCs w:val="32"/>
        </w:rPr>
        <w:t>1.</w:t>
      </w:r>
      <w:r>
        <w:rPr>
          <w:bCs/>
          <w:szCs w:val="32"/>
        </w:rPr>
        <w:t>城市更新单元详细规划刚性指标。包</w:t>
      </w:r>
      <w:r>
        <w:rPr>
          <w:szCs w:val="32"/>
        </w:rPr>
        <w:t>括：</w:t>
      </w:r>
    </w:p>
    <w:bookmarkEnd w:id="29"/>
    <w:p w:rsidR="00BD0664" w:rsidRDefault="00E57421">
      <w:pPr>
        <w:tabs>
          <w:tab w:val="left" w:pos="3055"/>
        </w:tabs>
        <w:spacing w:line="560" w:lineRule="exact"/>
        <w:ind w:firstLine="640"/>
        <w:rPr>
          <w:szCs w:val="32"/>
        </w:rPr>
      </w:pPr>
      <w:r>
        <w:rPr>
          <w:szCs w:val="32"/>
        </w:rPr>
        <w:t>（</w:t>
      </w:r>
      <w:r>
        <w:rPr>
          <w:szCs w:val="32"/>
        </w:rPr>
        <w:t>1</w:t>
      </w:r>
      <w:r>
        <w:rPr>
          <w:szCs w:val="32"/>
        </w:rPr>
        <w:t>）城市更新单元发展定位与主导功能；</w:t>
      </w:r>
    </w:p>
    <w:p w:rsidR="00BD0664" w:rsidRDefault="00E57421">
      <w:pPr>
        <w:tabs>
          <w:tab w:val="left" w:pos="3055"/>
        </w:tabs>
        <w:spacing w:line="560" w:lineRule="exact"/>
        <w:ind w:firstLine="640"/>
        <w:rPr>
          <w:szCs w:val="32"/>
        </w:rPr>
      </w:pPr>
      <w:r>
        <w:rPr>
          <w:szCs w:val="32"/>
        </w:rPr>
        <w:t>（</w:t>
      </w:r>
      <w:r>
        <w:rPr>
          <w:szCs w:val="32"/>
        </w:rPr>
        <w:t>2</w:t>
      </w:r>
      <w:r>
        <w:rPr>
          <w:szCs w:val="32"/>
        </w:rPr>
        <w:t>）城乡建设用地规模边界；</w:t>
      </w:r>
    </w:p>
    <w:p w:rsidR="00BD0664" w:rsidRDefault="00E57421">
      <w:pPr>
        <w:tabs>
          <w:tab w:val="left" w:pos="3055"/>
        </w:tabs>
        <w:spacing w:line="560" w:lineRule="exact"/>
        <w:ind w:firstLineChars="200" w:firstLine="640"/>
        <w:rPr>
          <w:szCs w:val="32"/>
        </w:rPr>
      </w:pPr>
      <w:r>
        <w:rPr>
          <w:szCs w:val="32"/>
        </w:rPr>
        <w:t>（</w:t>
      </w:r>
      <w:r>
        <w:rPr>
          <w:szCs w:val="32"/>
        </w:rPr>
        <w:t>3</w:t>
      </w:r>
      <w:r>
        <w:rPr>
          <w:szCs w:val="32"/>
        </w:rPr>
        <w:t>）底线控制要素：城镇开发边界、永久基本农田、生态保护红线，市和区级绿线、蓝线、</w:t>
      </w:r>
      <w:r>
        <w:rPr>
          <w:bCs/>
          <w:kern w:val="0"/>
          <w:szCs w:val="32"/>
        </w:rPr>
        <w:t>工业产业区块</w:t>
      </w:r>
      <w:r>
        <w:rPr>
          <w:szCs w:val="32"/>
        </w:rPr>
        <w:t>；</w:t>
      </w:r>
      <w:r>
        <w:rPr>
          <w:szCs w:val="32"/>
        </w:rPr>
        <w:t xml:space="preserve"> </w:t>
      </w:r>
    </w:p>
    <w:p w:rsidR="00BD0664" w:rsidRDefault="00E57421">
      <w:pPr>
        <w:tabs>
          <w:tab w:val="left" w:pos="3055"/>
        </w:tabs>
        <w:spacing w:line="560" w:lineRule="exact"/>
        <w:ind w:firstLine="640"/>
        <w:rPr>
          <w:szCs w:val="32"/>
        </w:rPr>
      </w:pPr>
      <w:r>
        <w:rPr>
          <w:szCs w:val="32"/>
        </w:rPr>
        <w:lastRenderedPageBreak/>
        <w:t>（</w:t>
      </w:r>
      <w:r>
        <w:rPr>
          <w:szCs w:val="32"/>
        </w:rPr>
        <w:t>4</w:t>
      </w:r>
      <w:r>
        <w:rPr>
          <w:szCs w:val="32"/>
        </w:rPr>
        <w:t>）历史文化街区、历史文化名镇、历史文化名村、历史风貌区、传统村落、不可移动文物、历史建筑、传统风貌建筑等核心保护范围、建设控制地带以及预先保护对象和古树名木的管控要求；</w:t>
      </w:r>
    </w:p>
    <w:p w:rsidR="00BD0664" w:rsidRDefault="00E57421">
      <w:pPr>
        <w:tabs>
          <w:tab w:val="left" w:pos="3055"/>
        </w:tabs>
        <w:spacing w:line="560" w:lineRule="exact"/>
        <w:ind w:firstLineChars="200" w:firstLine="640"/>
        <w:rPr>
          <w:szCs w:val="32"/>
        </w:rPr>
      </w:pPr>
      <w:r>
        <w:rPr>
          <w:szCs w:val="32"/>
        </w:rPr>
        <w:t>（</w:t>
      </w:r>
      <w:r>
        <w:rPr>
          <w:szCs w:val="32"/>
        </w:rPr>
        <w:t>5</w:t>
      </w:r>
      <w:r>
        <w:rPr>
          <w:szCs w:val="32"/>
        </w:rPr>
        <w:t>）自然资源指标：耕地保有量、林地面积、湿地保有面积、河湖水面面积；</w:t>
      </w:r>
    </w:p>
    <w:p w:rsidR="00BD0664" w:rsidRDefault="00E57421">
      <w:pPr>
        <w:tabs>
          <w:tab w:val="left" w:pos="3055"/>
        </w:tabs>
        <w:spacing w:line="560" w:lineRule="exact"/>
        <w:ind w:firstLineChars="200" w:firstLine="640"/>
        <w:rPr>
          <w:szCs w:val="32"/>
        </w:rPr>
      </w:pPr>
      <w:r>
        <w:rPr>
          <w:szCs w:val="32"/>
        </w:rPr>
        <w:t>（</w:t>
      </w:r>
      <w:r>
        <w:rPr>
          <w:szCs w:val="32"/>
        </w:rPr>
        <w:t>6</w:t>
      </w:r>
      <w:r>
        <w:rPr>
          <w:szCs w:val="32"/>
        </w:rPr>
        <w:t>）开发容量：城市更新单元总建设量上限，城市更新</w:t>
      </w:r>
      <w:r>
        <w:rPr>
          <w:rFonts w:hint="eastAsia"/>
          <w:szCs w:val="32"/>
        </w:rPr>
        <w:t>单元</w:t>
      </w:r>
      <w:r>
        <w:rPr>
          <w:szCs w:val="32"/>
        </w:rPr>
        <w:t>产业</w:t>
      </w:r>
      <w:r>
        <w:rPr>
          <w:bCs/>
          <w:szCs w:val="32"/>
        </w:rPr>
        <w:t>建设</w:t>
      </w:r>
      <w:r>
        <w:rPr>
          <w:szCs w:val="32"/>
        </w:rPr>
        <w:t>量</w:t>
      </w:r>
      <w:r>
        <w:rPr>
          <w:bCs/>
          <w:szCs w:val="32"/>
        </w:rPr>
        <w:t>占总建设量的比例下限</w:t>
      </w:r>
      <w:r>
        <w:rPr>
          <w:szCs w:val="32"/>
        </w:rPr>
        <w:t>；</w:t>
      </w:r>
    </w:p>
    <w:p w:rsidR="00BD0664" w:rsidRDefault="00E57421">
      <w:pPr>
        <w:tabs>
          <w:tab w:val="left" w:pos="3055"/>
        </w:tabs>
        <w:spacing w:line="560" w:lineRule="exact"/>
        <w:ind w:firstLineChars="200" w:firstLine="640"/>
        <w:rPr>
          <w:szCs w:val="32"/>
        </w:rPr>
      </w:pPr>
      <w:r>
        <w:rPr>
          <w:szCs w:val="32"/>
        </w:rPr>
        <w:t>（</w:t>
      </w:r>
      <w:r>
        <w:rPr>
          <w:szCs w:val="32"/>
        </w:rPr>
        <w:t>7</w:t>
      </w:r>
      <w:r>
        <w:rPr>
          <w:szCs w:val="32"/>
        </w:rPr>
        <w:t>）路网密度与高速公路、城市快速路、城市主干道、次干道级别的道路红线；</w:t>
      </w:r>
      <w:r>
        <w:rPr>
          <w:szCs w:val="32"/>
        </w:rPr>
        <w:t xml:space="preserve"> </w:t>
      </w:r>
    </w:p>
    <w:p w:rsidR="00BD0664" w:rsidRDefault="00E57421">
      <w:pPr>
        <w:tabs>
          <w:tab w:val="left" w:pos="3055"/>
        </w:tabs>
        <w:spacing w:line="560" w:lineRule="exact"/>
        <w:ind w:firstLineChars="200" w:firstLine="640"/>
        <w:rPr>
          <w:bCs/>
          <w:szCs w:val="32"/>
        </w:rPr>
      </w:pPr>
      <w:r>
        <w:rPr>
          <w:bCs/>
          <w:szCs w:val="32"/>
        </w:rPr>
        <w:t>（</w:t>
      </w:r>
      <w:r>
        <w:rPr>
          <w:bCs/>
          <w:szCs w:val="32"/>
        </w:rPr>
        <w:t>8</w:t>
      </w:r>
      <w:r>
        <w:rPr>
          <w:bCs/>
          <w:szCs w:val="32"/>
        </w:rPr>
        <w:t>）公共服务设施与市政、交通设施规模下限、类型；</w:t>
      </w:r>
    </w:p>
    <w:p w:rsidR="00BD0664" w:rsidRDefault="00E57421">
      <w:pPr>
        <w:tabs>
          <w:tab w:val="left" w:pos="3055"/>
        </w:tabs>
        <w:spacing w:line="560" w:lineRule="exact"/>
        <w:ind w:firstLine="640"/>
        <w:rPr>
          <w:bCs/>
          <w:szCs w:val="32"/>
        </w:rPr>
      </w:pPr>
      <w:r>
        <w:rPr>
          <w:bCs/>
          <w:szCs w:val="32"/>
        </w:rPr>
        <w:t>（</w:t>
      </w:r>
      <w:r>
        <w:rPr>
          <w:bCs/>
          <w:szCs w:val="32"/>
        </w:rPr>
        <w:t>9</w:t>
      </w:r>
      <w:r>
        <w:rPr>
          <w:bCs/>
          <w:szCs w:val="32"/>
        </w:rPr>
        <w:t>）公共绿地用地规模；</w:t>
      </w:r>
    </w:p>
    <w:p w:rsidR="00BD0664" w:rsidRDefault="00E57421">
      <w:pPr>
        <w:tabs>
          <w:tab w:val="left" w:pos="3055"/>
        </w:tabs>
        <w:spacing w:line="560" w:lineRule="exact"/>
        <w:ind w:firstLine="640"/>
        <w:rPr>
          <w:bCs/>
          <w:szCs w:val="32"/>
        </w:rPr>
      </w:pPr>
      <w:r>
        <w:rPr>
          <w:bCs/>
          <w:szCs w:val="32"/>
        </w:rPr>
        <w:t>（</w:t>
      </w:r>
      <w:r>
        <w:rPr>
          <w:bCs/>
          <w:szCs w:val="32"/>
        </w:rPr>
        <w:t>10</w:t>
      </w:r>
      <w:r>
        <w:rPr>
          <w:bCs/>
          <w:szCs w:val="32"/>
        </w:rPr>
        <w:t>）重点地区的城市设计要求，包括天际线、建筑高度、开敞空间、风廊、特色景观视廊等重要廊道、特色生态景观区、建筑界面以及地区特色风貌控制；</w:t>
      </w:r>
    </w:p>
    <w:p w:rsidR="00BD0664" w:rsidRDefault="00E57421">
      <w:pPr>
        <w:tabs>
          <w:tab w:val="left" w:pos="3055"/>
        </w:tabs>
        <w:spacing w:line="560" w:lineRule="exact"/>
        <w:ind w:firstLine="640"/>
        <w:rPr>
          <w:bCs/>
          <w:szCs w:val="32"/>
        </w:rPr>
      </w:pPr>
      <w:r>
        <w:rPr>
          <w:bCs/>
          <w:szCs w:val="32"/>
        </w:rPr>
        <w:t>（</w:t>
      </w:r>
      <w:r>
        <w:rPr>
          <w:bCs/>
          <w:szCs w:val="32"/>
        </w:rPr>
        <w:t>11</w:t>
      </w:r>
      <w:r>
        <w:rPr>
          <w:bCs/>
          <w:szCs w:val="32"/>
        </w:rPr>
        <w:t>）结合实际需要纳入的其他要求。</w:t>
      </w:r>
    </w:p>
    <w:p w:rsidR="00BD0664" w:rsidRDefault="00E57421">
      <w:pPr>
        <w:spacing w:line="560" w:lineRule="exact"/>
        <w:ind w:firstLineChars="200" w:firstLine="640"/>
        <w:rPr>
          <w:bCs/>
          <w:szCs w:val="32"/>
        </w:rPr>
      </w:pPr>
      <w:r>
        <w:rPr>
          <w:bCs/>
          <w:szCs w:val="32"/>
        </w:rPr>
        <w:t>2.</w:t>
      </w:r>
      <w:r>
        <w:rPr>
          <w:bCs/>
          <w:szCs w:val="32"/>
        </w:rPr>
        <w:t>城市更新单元详细规划弹性指标。在满足城市更新单元详细规划刚性指标的前提下，单元内的地块位置、地块界线、用地性质（含兼容性）、地块规划指标、支路线位和宽度、配套设施布局等指标作为弹性指标管控。</w:t>
      </w:r>
    </w:p>
    <w:p w:rsidR="00BD0664" w:rsidRDefault="00E57421">
      <w:pPr>
        <w:spacing w:line="560" w:lineRule="exact"/>
        <w:ind w:firstLineChars="200" w:firstLine="640"/>
        <w:rPr>
          <w:szCs w:val="32"/>
        </w:rPr>
      </w:pPr>
      <w:r>
        <w:rPr>
          <w:szCs w:val="32"/>
        </w:rPr>
        <w:t>（</w:t>
      </w:r>
      <w:r>
        <w:rPr>
          <w:b/>
          <w:szCs w:val="32"/>
        </w:rPr>
        <w:t>注：</w:t>
      </w:r>
      <w:r>
        <w:rPr>
          <w:rFonts w:hint="eastAsia"/>
          <w:bCs/>
          <w:szCs w:val="32"/>
        </w:rPr>
        <w:t>1.</w:t>
      </w:r>
      <w:r>
        <w:rPr>
          <w:bCs/>
          <w:szCs w:val="32"/>
        </w:rPr>
        <w:t>位于市重点功能片区的城市更新单元</w:t>
      </w:r>
      <w:r>
        <w:rPr>
          <w:rFonts w:hint="eastAsia"/>
          <w:bCs/>
          <w:szCs w:val="32"/>
        </w:rPr>
        <w:t>应同时满足市重点功</w:t>
      </w:r>
      <w:r>
        <w:rPr>
          <w:rFonts w:hint="eastAsia"/>
          <w:bCs/>
          <w:szCs w:val="32"/>
        </w:rPr>
        <w:t>能片区的详细规划管控要求。</w:t>
      </w:r>
      <w:r>
        <w:rPr>
          <w:rFonts w:hint="eastAsia"/>
          <w:bCs/>
          <w:szCs w:val="32"/>
        </w:rPr>
        <w:t>2.</w:t>
      </w:r>
      <w:r>
        <w:rPr>
          <w:bCs/>
          <w:szCs w:val="32"/>
        </w:rPr>
        <w:t>如涉及轨道交通工程，应根据《广州市城市轨道交通管理条例》</w:t>
      </w:r>
      <w:r>
        <w:rPr>
          <w:rFonts w:hint="eastAsia"/>
          <w:bCs/>
          <w:szCs w:val="32"/>
        </w:rPr>
        <w:t>（</w:t>
      </w:r>
      <w:r>
        <w:rPr>
          <w:rFonts w:hint="eastAsia"/>
          <w:bCs/>
          <w:szCs w:val="32"/>
        </w:rPr>
        <w:t>广州市第十三届人民代表大会常务委员会公告第</w:t>
      </w:r>
      <w:r>
        <w:rPr>
          <w:rFonts w:hint="eastAsia"/>
          <w:bCs/>
          <w:szCs w:val="32"/>
        </w:rPr>
        <w:t>18</w:t>
      </w:r>
      <w:r>
        <w:rPr>
          <w:rFonts w:hint="eastAsia"/>
          <w:bCs/>
          <w:szCs w:val="32"/>
        </w:rPr>
        <w:t>号</w:t>
      </w:r>
      <w:r>
        <w:rPr>
          <w:rFonts w:hint="eastAsia"/>
          <w:bCs/>
          <w:szCs w:val="32"/>
        </w:rPr>
        <w:t>）</w:t>
      </w:r>
      <w:r>
        <w:rPr>
          <w:bCs/>
          <w:szCs w:val="32"/>
        </w:rPr>
        <w:t>要求进行管</w:t>
      </w:r>
      <w:r>
        <w:rPr>
          <w:bCs/>
          <w:szCs w:val="32"/>
        </w:rPr>
        <w:lastRenderedPageBreak/>
        <w:t>控。</w:t>
      </w:r>
      <w:r>
        <w:rPr>
          <w:szCs w:val="32"/>
        </w:rPr>
        <w:t>）</w:t>
      </w:r>
    </w:p>
    <w:p w:rsidR="00BD0664" w:rsidRDefault="00E57421">
      <w:pPr>
        <w:overflowPunct w:val="0"/>
        <w:spacing w:line="560" w:lineRule="exact"/>
        <w:ind w:firstLineChars="200" w:firstLine="640"/>
        <w:rPr>
          <w:rFonts w:eastAsia="楷体"/>
          <w:bCs/>
        </w:rPr>
      </w:pPr>
      <w:bookmarkStart w:id="30" w:name="_Toc2803"/>
      <w:bookmarkStart w:id="31" w:name="_Toc42106320"/>
      <w:bookmarkStart w:id="32" w:name="_Toc32700642"/>
      <w:bookmarkStart w:id="33" w:name="_Toc7808"/>
      <w:bookmarkStart w:id="34" w:name="_Toc33564444"/>
      <w:bookmarkStart w:id="35" w:name="_Toc7654"/>
      <w:bookmarkStart w:id="36" w:name="_Toc8282"/>
      <w:r>
        <w:rPr>
          <w:rFonts w:eastAsia="楷体"/>
          <w:bCs/>
        </w:rPr>
        <w:t>（五）成果管理</w:t>
      </w:r>
      <w:bookmarkEnd w:id="30"/>
      <w:bookmarkEnd w:id="31"/>
      <w:bookmarkEnd w:id="32"/>
      <w:bookmarkEnd w:id="33"/>
      <w:bookmarkEnd w:id="34"/>
      <w:bookmarkEnd w:id="35"/>
      <w:bookmarkEnd w:id="36"/>
      <w:r>
        <w:rPr>
          <w:rFonts w:eastAsia="楷体" w:hint="eastAsia"/>
          <w:bCs/>
        </w:rPr>
        <w:t>。</w:t>
      </w:r>
    </w:p>
    <w:p w:rsidR="00BD0664" w:rsidRDefault="00E57421">
      <w:pPr>
        <w:tabs>
          <w:tab w:val="left" w:pos="3055"/>
        </w:tabs>
        <w:spacing w:line="560" w:lineRule="exact"/>
        <w:ind w:firstLineChars="200" w:firstLine="640"/>
        <w:rPr>
          <w:b/>
          <w:sz w:val="21"/>
          <w:szCs w:val="22"/>
        </w:rPr>
      </w:pPr>
      <w:r>
        <w:rPr>
          <w:szCs w:val="32"/>
        </w:rPr>
        <w:t>城市更新单元详细规划成果应以满足规划管理需求为导向，纳入全市国</w:t>
      </w:r>
      <w:r>
        <w:rPr>
          <w:rFonts w:ascii="仿宋_GB2312" w:hAnsi="仿宋_GB2312" w:cs="仿宋_GB2312" w:hint="eastAsia"/>
          <w:szCs w:val="32"/>
        </w:rPr>
        <w:t>土空间详细规划“一张图”平台</w:t>
      </w:r>
      <w:r>
        <w:rPr>
          <w:szCs w:val="32"/>
        </w:rPr>
        <w:t>。</w:t>
      </w:r>
    </w:p>
    <w:p w:rsidR="00BD0664" w:rsidRDefault="00E57421">
      <w:pPr>
        <w:overflowPunct w:val="0"/>
        <w:spacing w:line="560" w:lineRule="exact"/>
        <w:ind w:firstLineChars="200" w:firstLine="640"/>
        <w:rPr>
          <w:rFonts w:eastAsia="楷体"/>
          <w:bCs/>
        </w:rPr>
      </w:pPr>
      <w:bookmarkStart w:id="37" w:name="_Toc33564445"/>
      <w:bookmarkStart w:id="38" w:name="_Toc10552"/>
      <w:bookmarkStart w:id="39" w:name="_Toc23379"/>
      <w:bookmarkStart w:id="40" w:name="_Toc21838"/>
      <w:bookmarkStart w:id="41" w:name="_Toc42106321"/>
      <w:bookmarkStart w:id="42" w:name="_Toc17154"/>
      <w:r>
        <w:rPr>
          <w:rFonts w:eastAsia="楷体"/>
          <w:bCs/>
        </w:rPr>
        <w:t>（六）编制主体</w:t>
      </w:r>
      <w:bookmarkEnd w:id="37"/>
      <w:bookmarkEnd w:id="38"/>
      <w:bookmarkEnd w:id="39"/>
      <w:bookmarkEnd w:id="40"/>
      <w:bookmarkEnd w:id="41"/>
      <w:bookmarkEnd w:id="42"/>
      <w:r>
        <w:rPr>
          <w:rFonts w:eastAsia="楷体" w:hint="eastAsia"/>
          <w:bCs/>
        </w:rPr>
        <w:t>。</w:t>
      </w:r>
    </w:p>
    <w:p w:rsidR="00BD0664" w:rsidRDefault="00E57421">
      <w:pPr>
        <w:tabs>
          <w:tab w:val="left" w:pos="3055"/>
        </w:tabs>
        <w:spacing w:line="560" w:lineRule="exact"/>
        <w:ind w:firstLineChars="200" w:firstLine="640"/>
        <w:rPr>
          <w:szCs w:val="32"/>
        </w:rPr>
      </w:pPr>
      <w:r>
        <w:rPr>
          <w:szCs w:val="32"/>
        </w:rPr>
        <w:t>城市更新单元详细规划由</w:t>
      </w:r>
      <w:r>
        <w:rPr>
          <w:bCs/>
          <w:szCs w:val="32"/>
        </w:rPr>
        <w:t>市规划和自然资源</w:t>
      </w:r>
      <w:r>
        <w:rPr>
          <w:rFonts w:hint="eastAsia"/>
          <w:bCs/>
          <w:szCs w:val="32"/>
        </w:rPr>
        <w:t>行政</w:t>
      </w:r>
      <w:r>
        <w:rPr>
          <w:bCs/>
          <w:szCs w:val="32"/>
        </w:rPr>
        <w:t>主管部门统筹组织，各区政府（</w:t>
      </w:r>
      <w:r>
        <w:rPr>
          <w:rFonts w:hint="eastAsia"/>
          <w:bCs/>
          <w:szCs w:val="32"/>
        </w:rPr>
        <w:t>广州</w:t>
      </w:r>
      <w:r>
        <w:rPr>
          <w:bCs/>
          <w:szCs w:val="32"/>
        </w:rPr>
        <w:t>空港</w:t>
      </w:r>
      <w:r>
        <w:rPr>
          <w:rFonts w:hint="eastAsia"/>
          <w:bCs/>
          <w:szCs w:val="32"/>
        </w:rPr>
        <w:t>经济区管</w:t>
      </w:r>
      <w:r>
        <w:rPr>
          <w:bCs/>
          <w:szCs w:val="32"/>
        </w:rPr>
        <w:t>委</w:t>
      </w:r>
      <w:r>
        <w:rPr>
          <w:rFonts w:hint="eastAsia"/>
          <w:bCs/>
          <w:szCs w:val="32"/>
        </w:rPr>
        <w:t>会</w:t>
      </w:r>
      <w:r>
        <w:rPr>
          <w:bCs/>
          <w:szCs w:val="32"/>
        </w:rPr>
        <w:t>）组织具体</w:t>
      </w:r>
      <w:r>
        <w:rPr>
          <w:szCs w:val="32"/>
        </w:rPr>
        <w:t>编制。</w:t>
      </w:r>
    </w:p>
    <w:p w:rsidR="00BD0664" w:rsidRDefault="00E57421">
      <w:pPr>
        <w:overflowPunct w:val="0"/>
        <w:spacing w:line="560" w:lineRule="exact"/>
        <w:ind w:firstLineChars="200" w:firstLine="640"/>
        <w:rPr>
          <w:rFonts w:eastAsia="楷体"/>
          <w:bCs/>
        </w:rPr>
      </w:pPr>
      <w:bookmarkStart w:id="43" w:name="_Toc42106322"/>
      <w:bookmarkStart w:id="44" w:name="_Toc22830"/>
      <w:bookmarkStart w:id="45" w:name="_Toc14016"/>
      <w:bookmarkStart w:id="46" w:name="_Toc33564446"/>
      <w:bookmarkStart w:id="47" w:name="_Toc20178"/>
      <w:bookmarkStart w:id="48" w:name="_Toc8569"/>
      <w:r>
        <w:rPr>
          <w:rFonts w:eastAsia="楷体"/>
          <w:bCs/>
        </w:rPr>
        <w:t>（七）编制单位</w:t>
      </w:r>
      <w:bookmarkEnd w:id="43"/>
      <w:bookmarkEnd w:id="44"/>
      <w:bookmarkEnd w:id="45"/>
      <w:bookmarkEnd w:id="46"/>
      <w:bookmarkEnd w:id="47"/>
      <w:bookmarkEnd w:id="48"/>
      <w:r>
        <w:rPr>
          <w:rFonts w:eastAsia="楷体" w:hint="eastAsia"/>
          <w:bCs/>
        </w:rPr>
        <w:t>。</w:t>
      </w:r>
    </w:p>
    <w:p w:rsidR="00BD0664" w:rsidRDefault="00E57421">
      <w:pPr>
        <w:tabs>
          <w:tab w:val="left" w:pos="3055"/>
        </w:tabs>
        <w:spacing w:line="560" w:lineRule="exact"/>
        <w:ind w:firstLineChars="200" w:firstLine="640"/>
        <w:rPr>
          <w:szCs w:val="32"/>
        </w:rPr>
      </w:pPr>
      <w:r>
        <w:rPr>
          <w:szCs w:val="32"/>
        </w:rPr>
        <w:t>城市更新单元详细规划编制应由具备乙级及以上相应资质的规划编制单位承担，</w:t>
      </w:r>
      <w:r>
        <w:rPr>
          <w:rFonts w:hint="eastAsia"/>
          <w:szCs w:val="32"/>
        </w:rPr>
        <w:t>鼓励</w:t>
      </w:r>
      <w:r>
        <w:rPr>
          <w:rFonts w:hint="eastAsia"/>
          <w:szCs w:val="32"/>
        </w:rPr>
        <w:t>国内外知名设计机构和名家大师共同参与，高水平推进规划成果编制，打造城市设计精品项目。</w:t>
      </w:r>
      <w:r>
        <w:rPr>
          <w:szCs w:val="32"/>
        </w:rPr>
        <w:t>交通影响、</w:t>
      </w:r>
      <w:r>
        <w:rPr>
          <w:rFonts w:hint="eastAsia"/>
          <w:szCs w:val="32"/>
        </w:rPr>
        <w:t>规划</w:t>
      </w:r>
      <w:r>
        <w:rPr>
          <w:szCs w:val="32"/>
        </w:rPr>
        <w:t>环境影响、历史文化遗产影响及其他专项评估报告需委托相应专业技术单位编制。</w:t>
      </w:r>
    </w:p>
    <w:p w:rsidR="00BD0664" w:rsidRDefault="00E57421">
      <w:pPr>
        <w:snapToGrid w:val="0"/>
        <w:spacing w:line="560" w:lineRule="exact"/>
        <w:ind w:firstLineChars="200" w:firstLine="640"/>
        <w:rPr>
          <w:rFonts w:eastAsia="黑体"/>
          <w:szCs w:val="32"/>
        </w:rPr>
      </w:pPr>
      <w:bookmarkStart w:id="49" w:name="_Toc15019"/>
      <w:bookmarkStart w:id="50" w:name="_Toc13973"/>
      <w:bookmarkStart w:id="51" w:name="_Toc33564447"/>
      <w:bookmarkStart w:id="52" w:name="_Toc186"/>
      <w:bookmarkStart w:id="53" w:name="_Toc27182"/>
      <w:r>
        <w:rPr>
          <w:rFonts w:eastAsia="黑体"/>
          <w:szCs w:val="32"/>
        </w:rPr>
        <w:t>二、</w:t>
      </w:r>
      <w:bookmarkStart w:id="54" w:name="_Toc42106323"/>
      <w:r>
        <w:rPr>
          <w:rFonts w:eastAsia="黑体"/>
          <w:szCs w:val="32"/>
        </w:rPr>
        <w:t>城市更新单元详细规划必要性论证编制</w:t>
      </w:r>
      <w:bookmarkEnd w:id="49"/>
      <w:bookmarkEnd w:id="50"/>
      <w:bookmarkEnd w:id="51"/>
      <w:bookmarkEnd w:id="52"/>
      <w:bookmarkEnd w:id="53"/>
      <w:bookmarkEnd w:id="54"/>
    </w:p>
    <w:p w:rsidR="00BD0664" w:rsidRDefault="00E57421">
      <w:pPr>
        <w:overflowPunct w:val="0"/>
        <w:spacing w:line="560" w:lineRule="exact"/>
        <w:ind w:firstLineChars="200" w:firstLine="640"/>
        <w:rPr>
          <w:rFonts w:eastAsia="楷体"/>
          <w:bCs/>
        </w:rPr>
      </w:pPr>
      <w:bookmarkStart w:id="55" w:name="_Toc42106324"/>
      <w:bookmarkStart w:id="56" w:name="_Toc6740"/>
      <w:bookmarkStart w:id="57" w:name="_Toc42106325"/>
      <w:bookmarkStart w:id="58" w:name="_Toc33564448"/>
      <w:bookmarkStart w:id="59" w:name="_Toc6988"/>
      <w:bookmarkStart w:id="60" w:name="_Toc2144"/>
      <w:bookmarkStart w:id="61" w:name="_Toc19642"/>
      <w:bookmarkEnd w:id="55"/>
      <w:r>
        <w:rPr>
          <w:rFonts w:eastAsia="楷体"/>
          <w:bCs/>
        </w:rPr>
        <w:t>（一）城市更新单元划定</w:t>
      </w:r>
      <w:bookmarkEnd w:id="56"/>
      <w:bookmarkEnd w:id="57"/>
      <w:bookmarkEnd w:id="58"/>
      <w:bookmarkEnd w:id="59"/>
      <w:bookmarkEnd w:id="60"/>
      <w:bookmarkEnd w:id="61"/>
      <w:r>
        <w:rPr>
          <w:rFonts w:eastAsia="楷体" w:hint="eastAsia"/>
          <w:bCs/>
        </w:rPr>
        <w:t>。</w:t>
      </w:r>
    </w:p>
    <w:p w:rsidR="00BD0664" w:rsidRDefault="00E57421">
      <w:pPr>
        <w:spacing w:line="560" w:lineRule="exact"/>
        <w:ind w:firstLineChars="200" w:firstLine="640"/>
        <w:rPr>
          <w:sz w:val="21"/>
          <w:szCs w:val="22"/>
        </w:rPr>
      </w:pPr>
      <w:r>
        <w:rPr>
          <w:szCs w:val="32"/>
        </w:rPr>
        <w:t>1.</w:t>
      </w:r>
      <w:r>
        <w:rPr>
          <w:szCs w:val="32"/>
        </w:rPr>
        <w:t>城市更新项目说明</w:t>
      </w:r>
      <w:r>
        <w:rPr>
          <w:rFonts w:hint="eastAsia"/>
          <w:szCs w:val="32"/>
        </w:rPr>
        <w:t>。</w:t>
      </w:r>
    </w:p>
    <w:p w:rsidR="00BD0664" w:rsidRDefault="00E57421">
      <w:pPr>
        <w:spacing w:line="560" w:lineRule="exact"/>
        <w:ind w:firstLineChars="200" w:firstLine="640"/>
        <w:rPr>
          <w:szCs w:val="32"/>
        </w:rPr>
      </w:pPr>
      <w:r>
        <w:rPr>
          <w:szCs w:val="32"/>
        </w:rPr>
        <w:t>城市更新项目概况。说明城市更新项目的背景、区位、现状基本情况、纳入计划的情况等。</w:t>
      </w:r>
    </w:p>
    <w:p w:rsidR="00BD0664" w:rsidRDefault="00E57421">
      <w:pPr>
        <w:spacing w:line="560" w:lineRule="exact"/>
        <w:ind w:firstLineChars="200" w:firstLine="640"/>
        <w:rPr>
          <w:szCs w:val="32"/>
        </w:rPr>
      </w:pPr>
      <w:r>
        <w:rPr>
          <w:szCs w:val="32"/>
        </w:rPr>
        <w:t>城市更新项目范围。结合城市发展要求、用地权属边界、权属人改造意愿、项目实际需求、现行控制性详细规划导则地块及周边规划道路情况、</w:t>
      </w:r>
      <w:r>
        <w:rPr>
          <w:bCs/>
          <w:kern w:val="0"/>
          <w:szCs w:val="32"/>
        </w:rPr>
        <w:t>工业产业区块情况，</w:t>
      </w:r>
      <w:r>
        <w:rPr>
          <w:szCs w:val="32"/>
        </w:rPr>
        <w:t>说明更新项目的具体用地范</w:t>
      </w:r>
      <w:r>
        <w:rPr>
          <w:szCs w:val="32"/>
        </w:rPr>
        <w:t>围，明确各更新项目采用的更新改造方式。</w:t>
      </w:r>
    </w:p>
    <w:p w:rsidR="00BD0664" w:rsidRDefault="00E57421">
      <w:pPr>
        <w:spacing w:line="560" w:lineRule="exact"/>
        <w:ind w:firstLineChars="200" w:firstLine="640"/>
        <w:rPr>
          <w:szCs w:val="32"/>
        </w:rPr>
      </w:pPr>
      <w:r>
        <w:rPr>
          <w:szCs w:val="32"/>
        </w:rPr>
        <w:t>2.</w:t>
      </w:r>
      <w:r>
        <w:rPr>
          <w:szCs w:val="32"/>
        </w:rPr>
        <w:t>城市更新单元划定</w:t>
      </w:r>
      <w:r>
        <w:rPr>
          <w:rFonts w:hint="eastAsia"/>
          <w:szCs w:val="32"/>
        </w:rPr>
        <w:t>。</w:t>
      </w:r>
    </w:p>
    <w:p w:rsidR="00BD0664" w:rsidRDefault="00E57421">
      <w:pPr>
        <w:tabs>
          <w:tab w:val="left" w:pos="3055"/>
        </w:tabs>
        <w:spacing w:line="560" w:lineRule="exact"/>
        <w:ind w:firstLineChars="201" w:firstLine="643"/>
        <w:rPr>
          <w:szCs w:val="32"/>
        </w:rPr>
      </w:pPr>
      <w:r>
        <w:rPr>
          <w:szCs w:val="32"/>
        </w:rPr>
        <w:lastRenderedPageBreak/>
        <w:t>以城市更新项目范围为基础，可包括多个更新项目，以成片连片为基本原则</w:t>
      </w:r>
      <w:r>
        <w:rPr>
          <w:rFonts w:hint="eastAsia"/>
          <w:szCs w:val="32"/>
        </w:rPr>
        <w:t>，</w:t>
      </w:r>
      <w:r>
        <w:rPr>
          <w:szCs w:val="32"/>
        </w:rPr>
        <w:t>综合考虑道路、河流等要素及产权边界等因素，保证基础设施和公共服务设施相对完整，落实</w:t>
      </w:r>
      <w:r>
        <w:rPr>
          <w:bCs/>
          <w:szCs w:val="32"/>
        </w:rPr>
        <w:t>国土空间详细规划单元划分要求</w:t>
      </w:r>
      <w:r>
        <w:rPr>
          <w:szCs w:val="32"/>
        </w:rPr>
        <w:t>，划定城市更新单元。城市更新单元内可结合具体更新项目划分子单元</w:t>
      </w:r>
      <w:r>
        <w:rPr>
          <w:rFonts w:hint="eastAsia"/>
          <w:szCs w:val="32"/>
        </w:rPr>
        <w:t>（街区单元）</w:t>
      </w:r>
      <w:r>
        <w:rPr>
          <w:szCs w:val="32"/>
        </w:rPr>
        <w:t>。</w:t>
      </w:r>
    </w:p>
    <w:p w:rsidR="00BD0664" w:rsidRDefault="00E57421">
      <w:pPr>
        <w:overflowPunct w:val="0"/>
        <w:spacing w:line="560" w:lineRule="exact"/>
        <w:ind w:firstLineChars="200" w:firstLine="640"/>
        <w:rPr>
          <w:rFonts w:eastAsia="楷体"/>
          <w:bCs/>
        </w:rPr>
      </w:pPr>
      <w:bookmarkStart w:id="62" w:name="_Toc33564449"/>
      <w:bookmarkStart w:id="63" w:name="_Toc285"/>
      <w:bookmarkStart w:id="64" w:name="_Toc23530"/>
      <w:bookmarkStart w:id="65" w:name="_Toc28627"/>
      <w:bookmarkStart w:id="66" w:name="_Toc42106326"/>
      <w:bookmarkStart w:id="67" w:name="_Toc28045"/>
      <w:r>
        <w:rPr>
          <w:rFonts w:eastAsia="楷体"/>
          <w:bCs/>
        </w:rPr>
        <w:t>（二）城市更新单元详细规划必要性分析</w:t>
      </w:r>
      <w:bookmarkEnd w:id="62"/>
      <w:bookmarkEnd w:id="63"/>
      <w:bookmarkEnd w:id="64"/>
      <w:bookmarkEnd w:id="65"/>
      <w:bookmarkEnd w:id="66"/>
      <w:bookmarkEnd w:id="67"/>
      <w:r>
        <w:rPr>
          <w:rFonts w:eastAsia="楷体" w:hint="eastAsia"/>
          <w:bCs/>
        </w:rPr>
        <w:t>。</w:t>
      </w:r>
    </w:p>
    <w:p w:rsidR="00BD0664" w:rsidRDefault="00E57421">
      <w:pPr>
        <w:spacing w:line="560" w:lineRule="exact"/>
        <w:ind w:firstLineChars="200" w:firstLine="640"/>
        <w:rPr>
          <w:szCs w:val="32"/>
        </w:rPr>
      </w:pPr>
      <w:r>
        <w:rPr>
          <w:szCs w:val="32"/>
        </w:rPr>
        <w:t>根据相关政策规定，解释说明城市更新单元详细规划的编制目的，论证编制必要性。</w:t>
      </w:r>
    </w:p>
    <w:p w:rsidR="00BD0664" w:rsidRDefault="00E57421">
      <w:pPr>
        <w:overflowPunct w:val="0"/>
        <w:spacing w:line="560" w:lineRule="exact"/>
        <w:ind w:firstLineChars="200" w:firstLine="640"/>
        <w:rPr>
          <w:rFonts w:eastAsia="楷体"/>
          <w:bCs/>
        </w:rPr>
      </w:pPr>
      <w:bookmarkStart w:id="68" w:name="_Toc26247"/>
      <w:bookmarkStart w:id="69" w:name="_Toc42106327"/>
      <w:bookmarkStart w:id="70" w:name="_Toc25452"/>
      <w:bookmarkStart w:id="71" w:name="_Toc33564450"/>
      <w:bookmarkStart w:id="72" w:name="_Toc14444"/>
      <w:bookmarkStart w:id="73" w:name="_Toc28500"/>
      <w:r>
        <w:rPr>
          <w:rFonts w:eastAsia="楷体"/>
          <w:bCs/>
        </w:rPr>
        <w:t>（三）申请详细规划修改的内容</w:t>
      </w:r>
      <w:bookmarkEnd w:id="68"/>
      <w:bookmarkEnd w:id="69"/>
      <w:bookmarkEnd w:id="70"/>
      <w:bookmarkEnd w:id="71"/>
      <w:bookmarkEnd w:id="72"/>
      <w:bookmarkEnd w:id="73"/>
      <w:r>
        <w:rPr>
          <w:rFonts w:eastAsia="楷体" w:hint="eastAsia"/>
          <w:bCs/>
        </w:rPr>
        <w:t>。</w:t>
      </w:r>
    </w:p>
    <w:p w:rsidR="00BD0664" w:rsidRDefault="00E57421">
      <w:pPr>
        <w:spacing w:line="560" w:lineRule="exact"/>
        <w:ind w:firstLineChars="200" w:firstLine="640"/>
        <w:rPr>
          <w:szCs w:val="32"/>
        </w:rPr>
      </w:pPr>
      <w:r>
        <w:rPr>
          <w:szCs w:val="32"/>
        </w:rPr>
        <w:t>说明城市更新单元的主导定位与发展功能，说明是否符合国土空间总体规划（城市总体规划、土地利用总体规划），初步分析城市更新单元内各地块用地性质、建设量并估算改造成本。简单说明详细规划需要修改的内容，并分析与生态环境规划的协调性，</w:t>
      </w:r>
      <w:r>
        <w:rPr>
          <w:bCs/>
          <w:kern w:val="0"/>
          <w:szCs w:val="32"/>
        </w:rPr>
        <w:t>涉及工业产业区块的核查及调整情况</w:t>
      </w:r>
      <w:r>
        <w:rPr>
          <w:szCs w:val="32"/>
        </w:rPr>
        <w:t>。</w:t>
      </w:r>
    </w:p>
    <w:p w:rsidR="00BD0664" w:rsidRDefault="00E57421">
      <w:pPr>
        <w:overflowPunct w:val="0"/>
        <w:spacing w:line="560" w:lineRule="exact"/>
        <w:ind w:firstLineChars="200" w:firstLine="640"/>
        <w:rPr>
          <w:rFonts w:eastAsia="楷体"/>
          <w:bCs/>
        </w:rPr>
      </w:pPr>
      <w:bookmarkStart w:id="74" w:name="_Toc2903"/>
      <w:bookmarkStart w:id="75" w:name="_Toc31641"/>
      <w:bookmarkStart w:id="76" w:name="_Toc33564451"/>
      <w:bookmarkStart w:id="77" w:name="_Toc10817"/>
      <w:bookmarkStart w:id="78" w:name="_Toc24099"/>
      <w:bookmarkStart w:id="79" w:name="_Toc42106328"/>
      <w:r>
        <w:rPr>
          <w:rFonts w:eastAsia="楷体"/>
          <w:bCs/>
        </w:rPr>
        <w:t>（四）征求利害关系人意见情况说明</w:t>
      </w:r>
      <w:bookmarkEnd w:id="74"/>
      <w:bookmarkEnd w:id="75"/>
      <w:bookmarkEnd w:id="76"/>
      <w:bookmarkEnd w:id="77"/>
      <w:bookmarkEnd w:id="78"/>
      <w:bookmarkEnd w:id="79"/>
      <w:r>
        <w:rPr>
          <w:rFonts w:eastAsia="楷体" w:hint="eastAsia"/>
          <w:bCs/>
        </w:rPr>
        <w:t>。</w:t>
      </w:r>
    </w:p>
    <w:p w:rsidR="00BD0664" w:rsidRDefault="00E57421">
      <w:pPr>
        <w:spacing w:line="560" w:lineRule="exact"/>
        <w:ind w:firstLineChars="200" w:firstLine="640"/>
        <w:rPr>
          <w:szCs w:val="32"/>
        </w:rPr>
      </w:pPr>
      <w:r>
        <w:rPr>
          <w:szCs w:val="32"/>
        </w:rPr>
        <w:t>说明城市更新项目范围内涉及的权属主体、开发主体等相关利害关系人的意见情况。</w:t>
      </w:r>
    </w:p>
    <w:p w:rsidR="00BD0664" w:rsidRDefault="00E57421">
      <w:pPr>
        <w:overflowPunct w:val="0"/>
        <w:spacing w:line="560" w:lineRule="exact"/>
        <w:ind w:firstLineChars="200" w:firstLine="640"/>
        <w:rPr>
          <w:rFonts w:eastAsia="楷体"/>
          <w:bCs/>
        </w:rPr>
      </w:pPr>
      <w:bookmarkStart w:id="80" w:name="_Toc19623"/>
      <w:bookmarkStart w:id="81" w:name="_Toc33564453"/>
      <w:bookmarkStart w:id="82" w:name="_Toc4586"/>
      <w:bookmarkStart w:id="83" w:name="_Toc26873"/>
      <w:bookmarkStart w:id="84" w:name="_Toc24791"/>
      <w:bookmarkStart w:id="85" w:name="_Toc42106329"/>
      <w:r>
        <w:rPr>
          <w:rFonts w:eastAsia="楷体"/>
          <w:bCs/>
        </w:rPr>
        <w:t>（五）提请审议的内容</w:t>
      </w:r>
      <w:bookmarkEnd w:id="80"/>
      <w:bookmarkEnd w:id="81"/>
      <w:bookmarkEnd w:id="82"/>
      <w:bookmarkEnd w:id="83"/>
      <w:bookmarkEnd w:id="84"/>
      <w:bookmarkEnd w:id="85"/>
      <w:r>
        <w:rPr>
          <w:rFonts w:eastAsia="楷体" w:hint="eastAsia"/>
          <w:bCs/>
        </w:rPr>
        <w:t>。</w:t>
      </w:r>
    </w:p>
    <w:p w:rsidR="00BD0664" w:rsidRDefault="00E57421">
      <w:pPr>
        <w:spacing w:line="560" w:lineRule="exact"/>
        <w:ind w:firstLineChars="200" w:firstLine="640"/>
        <w:rPr>
          <w:szCs w:val="32"/>
        </w:rPr>
      </w:pPr>
      <w:r>
        <w:rPr>
          <w:szCs w:val="32"/>
        </w:rPr>
        <w:t>说明提请审议的内容与政策依据。</w:t>
      </w:r>
    </w:p>
    <w:p w:rsidR="00BD0664" w:rsidRDefault="00E57421">
      <w:pPr>
        <w:overflowPunct w:val="0"/>
        <w:spacing w:line="560" w:lineRule="exact"/>
        <w:ind w:firstLineChars="200" w:firstLine="640"/>
        <w:rPr>
          <w:rFonts w:eastAsia="楷体"/>
          <w:bCs/>
        </w:rPr>
      </w:pPr>
      <w:bookmarkStart w:id="86" w:name="_Toc667"/>
      <w:bookmarkStart w:id="87" w:name="_Toc2933"/>
      <w:bookmarkStart w:id="88" w:name="_Toc33564454"/>
      <w:bookmarkStart w:id="89" w:name="_Toc42106330"/>
      <w:bookmarkStart w:id="90" w:name="_Toc3056"/>
      <w:bookmarkStart w:id="91" w:name="_Toc14315"/>
      <w:r>
        <w:rPr>
          <w:rFonts w:eastAsia="楷体"/>
          <w:bCs/>
        </w:rPr>
        <w:t>（六）必要性论证成果形式</w:t>
      </w:r>
      <w:bookmarkEnd w:id="86"/>
      <w:bookmarkEnd w:id="87"/>
      <w:bookmarkEnd w:id="88"/>
      <w:bookmarkEnd w:id="89"/>
      <w:bookmarkEnd w:id="90"/>
      <w:bookmarkEnd w:id="91"/>
      <w:r>
        <w:rPr>
          <w:rFonts w:eastAsia="楷体" w:hint="eastAsia"/>
          <w:bCs/>
        </w:rPr>
        <w:t>。</w:t>
      </w:r>
    </w:p>
    <w:p w:rsidR="00BD0664" w:rsidRDefault="00E57421">
      <w:pPr>
        <w:spacing w:line="560" w:lineRule="exact"/>
        <w:ind w:firstLineChars="200" w:firstLine="640"/>
        <w:rPr>
          <w:szCs w:val="32"/>
        </w:rPr>
      </w:pPr>
      <w:r>
        <w:rPr>
          <w:szCs w:val="32"/>
        </w:rPr>
        <w:t>编制城市更新单元详细规划必要性论证报告。纸质成果采用</w:t>
      </w:r>
      <w:r>
        <w:rPr>
          <w:szCs w:val="32"/>
        </w:rPr>
        <w:t>A4</w:t>
      </w:r>
      <w:r>
        <w:rPr>
          <w:szCs w:val="32"/>
        </w:rPr>
        <w:t>幅面，电子数据成果文本正文采用</w:t>
      </w:r>
      <w:r>
        <w:rPr>
          <w:szCs w:val="32"/>
        </w:rPr>
        <w:t>word</w:t>
      </w:r>
      <w:r>
        <w:rPr>
          <w:szCs w:val="32"/>
        </w:rPr>
        <w:t>格式或</w:t>
      </w:r>
      <w:r>
        <w:rPr>
          <w:szCs w:val="32"/>
        </w:rPr>
        <w:t>PDF</w:t>
      </w:r>
      <w:r>
        <w:rPr>
          <w:szCs w:val="32"/>
        </w:rPr>
        <w:t>格式，汇报文件采用</w:t>
      </w:r>
      <w:r>
        <w:rPr>
          <w:szCs w:val="32"/>
        </w:rPr>
        <w:t>PPT</w:t>
      </w:r>
      <w:r>
        <w:rPr>
          <w:szCs w:val="32"/>
        </w:rPr>
        <w:t>格式，城市更新单元划定图采用</w:t>
      </w:r>
      <w:r>
        <w:rPr>
          <w:szCs w:val="32"/>
        </w:rPr>
        <w:t>jpg</w:t>
      </w:r>
      <w:r>
        <w:rPr>
          <w:szCs w:val="32"/>
        </w:rPr>
        <w:t>格式，同时附上</w:t>
      </w:r>
      <w:r>
        <w:rPr>
          <w:szCs w:val="32"/>
        </w:rPr>
        <w:t>dwg</w:t>
      </w:r>
      <w:r>
        <w:rPr>
          <w:szCs w:val="32"/>
        </w:rPr>
        <w:t>和</w:t>
      </w:r>
      <w:r>
        <w:rPr>
          <w:szCs w:val="32"/>
        </w:rPr>
        <w:t>ArcGIS</w:t>
      </w:r>
      <w:r>
        <w:rPr>
          <w:szCs w:val="32"/>
        </w:rPr>
        <w:t>文件地理数据库或个人地理</w:t>
      </w:r>
      <w:r>
        <w:rPr>
          <w:szCs w:val="32"/>
        </w:rPr>
        <w:lastRenderedPageBreak/>
        <w:t>数据库格式的矢量文件（</w:t>
      </w:r>
      <w:r>
        <w:rPr>
          <w:szCs w:val="32"/>
        </w:rPr>
        <w:t>2000</w:t>
      </w:r>
      <w:r>
        <w:rPr>
          <w:szCs w:val="32"/>
        </w:rPr>
        <w:t>国家大地坐标系和广州</w:t>
      </w:r>
      <w:r>
        <w:rPr>
          <w:szCs w:val="32"/>
        </w:rPr>
        <w:t>2000</w:t>
      </w:r>
      <w:r>
        <w:rPr>
          <w:szCs w:val="32"/>
        </w:rPr>
        <w:t>坐标系）。</w:t>
      </w:r>
    </w:p>
    <w:p w:rsidR="00BD0664" w:rsidRDefault="00E57421">
      <w:pPr>
        <w:overflowPunct w:val="0"/>
        <w:spacing w:line="560" w:lineRule="exact"/>
        <w:ind w:firstLineChars="200" w:firstLine="640"/>
        <w:jc w:val="left"/>
        <w:rPr>
          <w:rFonts w:ascii="楷体_GB2312" w:eastAsia="楷体_GB2312"/>
          <w:bCs/>
        </w:rPr>
      </w:pPr>
      <w:bookmarkStart w:id="92" w:name="_Toc33564455"/>
      <w:r>
        <w:rPr>
          <w:rFonts w:ascii="楷体_GB2312" w:eastAsia="楷体_GB2312" w:hint="eastAsia"/>
          <w:bCs/>
        </w:rPr>
        <w:t>（七）城市更新单元内的更新项目纳入城市更新年度计划、三年实施计划和五年行动方案的，或市委、市政府部署推进的，城市更新单元详细规划的必要性论证内容可纳入规划方案。</w:t>
      </w:r>
      <w:bookmarkStart w:id="93" w:name="_Toc32574"/>
      <w:bookmarkStart w:id="94" w:name="_Toc4163"/>
      <w:bookmarkStart w:id="95" w:name="_Toc20294"/>
      <w:bookmarkStart w:id="96" w:name="_Toc42106331"/>
      <w:bookmarkStart w:id="97" w:name="_Toc14587"/>
    </w:p>
    <w:p w:rsidR="00BD0664" w:rsidRDefault="00E57421">
      <w:pPr>
        <w:overflowPunct w:val="0"/>
        <w:spacing w:line="560" w:lineRule="exact"/>
        <w:ind w:firstLineChars="200" w:firstLine="640"/>
        <w:rPr>
          <w:rFonts w:eastAsia="黑体"/>
          <w:szCs w:val="32"/>
        </w:rPr>
      </w:pPr>
      <w:r>
        <w:rPr>
          <w:rFonts w:eastAsia="黑体"/>
          <w:szCs w:val="32"/>
        </w:rPr>
        <w:t>三、城市更新单元详细规划方案编制</w:t>
      </w:r>
      <w:bookmarkEnd w:id="92"/>
      <w:bookmarkEnd w:id="93"/>
      <w:bookmarkEnd w:id="94"/>
      <w:bookmarkEnd w:id="95"/>
      <w:bookmarkEnd w:id="96"/>
      <w:bookmarkEnd w:id="97"/>
    </w:p>
    <w:p w:rsidR="00BD0664" w:rsidRDefault="00E57421">
      <w:pPr>
        <w:overflowPunct w:val="0"/>
        <w:spacing w:line="560" w:lineRule="exact"/>
        <w:ind w:firstLineChars="200" w:firstLine="640"/>
        <w:rPr>
          <w:rFonts w:ascii="楷体_GB2312" w:eastAsia="楷体_GB2312"/>
          <w:bCs/>
        </w:rPr>
      </w:pPr>
      <w:bookmarkStart w:id="98" w:name="_Toc26007"/>
      <w:bookmarkStart w:id="99" w:name="_Toc25554"/>
      <w:bookmarkStart w:id="100" w:name="_Toc33564456"/>
      <w:bookmarkStart w:id="101" w:name="_Toc22654"/>
      <w:bookmarkStart w:id="102" w:name="_Toc31603"/>
      <w:bookmarkStart w:id="103" w:name="_Toc42106332"/>
      <w:r>
        <w:rPr>
          <w:rFonts w:ascii="楷体_GB2312" w:eastAsia="楷体_GB2312"/>
          <w:bCs/>
        </w:rPr>
        <w:t>（一）前言</w:t>
      </w:r>
      <w:bookmarkEnd w:id="98"/>
      <w:bookmarkEnd w:id="99"/>
      <w:bookmarkEnd w:id="100"/>
      <w:bookmarkEnd w:id="101"/>
      <w:bookmarkEnd w:id="102"/>
      <w:bookmarkEnd w:id="103"/>
      <w:r>
        <w:rPr>
          <w:rFonts w:ascii="楷体_GB2312" w:eastAsia="楷体_GB2312" w:hint="eastAsia"/>
          <w:bCs/>
        </w:rPr>
        <w:t>。</w:t>
      </w:r>
    </w:p>
    <w:p w:rsidR="00BD0664" w:rsidRDefault="00E57421">
      <w:pPr>
        <w:spacing w:line="560" w:lineRule="exact"/>
        <w:ind w:firstLineChars="200" w:firstLine="640"/>
        <w:rPr>
          <w:szCs w:val="32"/>
        </w:rPr>
      </w:pPr>
      <w:r>
        <w:rPr>
          <w:szCs w:val="32"/>
        </w:rPr>
        <w:t>说明城市更新单元详细规划编制背景、工作开展情况</w:t>
      </w:r>
      <w:r>
        <w:rPr>
          <w:rFonts w:hint="eastAsia"/>
          <w:szCs w:val="32"/>
        </w:rPr>
        <w:t>、</w:t>
      </w:r>
      <w:r>
        <w:rPr>
          <w:szCs w:val="32"/>
        </w:rPr>
        <w:t>改造意愿</w:t>
      </w:r>
      <w:r>
        <w:rPr>
          <w:rFonts w:hint="eastAsia"/>
          <w:szCs w:val="32"/>
        </w:rPr>
        <w:t>等</w:t>
      </w:r>
      <w:r>
        <w:rPr>
          <w:szCs w:val="32"/>
        </w:rPr>
        <w:t>情况。</w:t>
      </w:r>
    </w:p>
    <w:p w:rsidR="00BD0664" w:rsidRDefault="00E57421">
      <w:pPr>
        <w:overflowPunct w:val="0"/>
        <w:spacing w:line="560" w:lineRule="exact"/>
        <w:ind w:firstLineChars="200" w:firstLine="640"/>
        <w:rPr>
          <w:rFonts w:ascii="楷体_GB2312" w:eastAsia="楷体_GB2312"/>
          <w:bCs/>
        </w:rPr>
      </w:pPr>
      <w:bookmarkStart w:id="104" w:name="_Toc27891"/>
      <w:bookmarkStart w:id="105" w:name="_Toc33564457"/>
      <w:bookmarkStart w:id="106" w:name="_Toc42106333"/>
      <w:bookmarkStart w:id="107" w:name="_Toc17716"/>
      <w:bookmarkStart w:id="108" w:name="_Toc13084"/>
      <w:bookmarkStart w:id="109" w:name="_Toc18036"/>
      <w:r>
        <w:rPr>
          <w:rFonts w:ascii="楷体_GB2312" w:eastAsia="楷体_GB2312"/>
          <w:bCs/>
        </w:rPr>
        <w:t>（二）区位分析</w:t>
      </w:r>
      <w:bookmarkEnd w:id="104"/>
      <w:bookmarkEnd w:id="105"/>
      <w:bookmarkEnd w:id="106"/>
      <w:bookmarkEnd w:id="107"/>
      <w:bookmarkEnd w:id="108"/>
      <w:bookmarkEnd w:id="109"/>
      <w:r>
        <w:rPr>
          <w:rFonts w:ascii="楷体_GB2312" w:eastAsia="楷体_GB2312" w:hint="eastAsia"/>
          <w:bCs/>
        </w:rPr>
        <w:t>。</w:t>
      </w:r>
    </w:p>
    <w:p w:rsidR="00BD0664" w:rsidRDefault="00E57421">
      <w:pPr>
        <w:spacing w:line="560" w:lineRule="exact"/>
        <w:ind w:firstLineChars="200" w:firstLine="640"/>
        <w:rPr>
          <w:szCs w:val="32"/>
        </w:rPr>
      </w:pPr>
      <w:r>
        <w:rPr>
          <w:szCs w:val="32"/>
        </w:rPr>
        <w:t>说明城市更新单元所处的地理位置，分析其在区域中的功能、交通等方面的地位和作用。</w:t>
      </w:r>
    </w:p>
    <w:p w:rsidR="00BD0664" w:rsidRDefault="00E57421">
      <w:pPr>
        <w:overflowPunct w:val="0"/>
        <w:spacing w:line="560" w:lineRule="exact"/>
        <w:ind w:firstLineChars="200" w:firstLine="640"/>
        <w:rPr>
          <w:rFonts w:eastAsia="楷体"/>
          <w:bCs/>
        </w:rPr>
      </w:pPr>
      <w:bookmarkStart w:id="110" w:name="_Toc14287"/>
      <w:bookmarkStart w:id="111" w:name="_Toc42106334"/>
      <w:bookmarkStart w:id="112" w:name="_Toc9376"/>
      <w:bookmarkStart w:id="113" w:name="_Toc21492"/>
      <w:bookmarkStart w:id="114" w:name="_Toc1365"/>
      <w:r>
        <w:rPr>
          <w:rFonts w:ascii="楷体_GB2312" w:eastAsia="楷体_GB2312"/>
          <w:bCs/>
        </w:rPr>
        <w:t>（三）城市更新单元划定</w:t>
      </w:r>
      <w:bookmarkEnd w:id="110"/>
      <w:bookmarkEnd w:id="111"/>
      <w:bookmarkEnd w:id="112"/>
      <w:bookmarkEnd w:id="113"/>
      <w:bookmarkEnd w:id="114"/>
      <w:r>
        <w:rPr>
          <w:rFonts w:ascii="楷体_GB2312" w:eastAsia="楷体_GB2312" w:hint="eastAsia"/>
          <w:bCs/>
        </w:rPr>
        <w:t>。</w:t>
      </w:r>
      <w:r>
        <w:rPr>
          <w:rFonts w:eastAsia="楷体"/>
          <w:bCs/>
        </w:rPr>
        <w:t xml:space="preserve"> </w:t>
      </w:r>
    </w:p>
    <w:p w:rsidR="00BD0664" w:rsidRDefault="00E57421">
      <w:pPr>
        <w:spacing w:line="560" w:lineRule="exact"/>
        <w:ind w:firstLineChars="200" w:firstLine="640"/>
        <w:rPr>
          <w:szCs w:val="32"/>
        </w:rPr>
      </w:pPr>
      <w:r>
        <w:rPr>
          <w:szCs w:val="32"/>
        </w:rPr>
        <w:t>说明城市更新单元划定情况。梳理城市更新单元内子单元（项目），明确各子单元（项目）名称、边界、类型、划定思路与方法、改造主体、改造方式等。</w:t>
      </w:r>
    </w:p>
    <w:p w:rsidR="00BD0664" w:rsidRDefault="00E57421">
      <w:pPr>
        <w:overflowPunct w:val="0"/>
        <w:spacing w:line="560" w:lineRule="exact"/>
        <w:ind w:firstLineChars="200" w:firstLine="640"/>
        <w:rPr>
          <w:rFonts w:ascii="楷体_GB2312" w:eastAsia="楷体_GB2312"/>
          <w:bCs/>
        </w:rPr>
      </w:pPr>
      <w:bookmarkStart w:id="115" w:name="_Toc7984"/>
      <w:bookmarkStart w:id="116" w:name="_Toc9056"/>
      <w:bookmarkStart w:id="117" w:name="_Toc21790"/>
      <w:bookmarkStart w:id="118" w:name="_Toc33564458"/>
      <w:bookmarkStart w:id="119" w:name="_Toc42106335"/>
      <w:bookmarkStart w:id="120" w:name="_Toc10559"/>
      <w:r>
        <w:rPr>
          <w:rFonts w:ascii="楷体_GB2312" w:eastAsia="楷体_GB2312"/>
          <w:bCs/>
        </w:rPr>
        <w:t>（四）规划依据</w:t>
      </w:r>
      <w:bookmarkEnd w:id="115"/>
      <w:bookmarkEnd w:id="116"/>
      <w:bookmarkEnd w:id="117"/>
      <w:bookmarkEnd w:id="118"/>
      <w:bookmarkEnd w:id="119"/>
      <w:bookmarkEnd w:id="120"/>
      <w:r>
        <w:rPr>
          <w:rFonts w:ascii="楷体_GB2312" w:eastAsia="楷体_GB2312" w:hint="eastAsia"/>
          <w:bCs/>
        </w:rPr>
        <w:t>。</w:t>
      </w:r>
    </w:p>
    <w:p w:rsidR="00BD0664" w:rsidRDefault="00E57421">
      <w:pPr>
        <w:tabs>
          <w:tab w:val="left" w:pos="3055"/>
        </w:tabs>
        <w:spacing w:line="560" w:lineRule="exact"/>
        <w:ind w:firstLineChars="200" w:firstLine="640"/>
        <w:rPr>
          <w:szCs w:val="32"/>
        </w:rPr>
      </w:pPr>
      <w:r>
        <w:rPr>
          <w:szCs w:val="32"/>
        </w:rPr>
        <w:t>1.</w:t>
      </w:r>
      <w:r>
        <w:rPr>
          <w:szCs w:val="32"/>
        </w:rPr>
        <w:t>上层次规划和相关规划。梳理与城市更新单元有关的国民经济和社会发展规划、国土空间总体规划（土地利用总体规划、城市总体规划），生态、环保、水务、公服、交通、市政、产业、文保、矿产、地质等专项规划，及现行国土空间详细规划对城市更新单元的具体要求，落实国土空间单元详细规划刚性和弹性指标要求，分析城市更新单元功能定位</w:t>
      </w:r>
      <w:r>
        <w:rPr>
          <w:szCs w:val="32"/>
        </w:rPr>
        <w:lastRenderedPageBreak/>
        <w:t>与上层次规划的符合性。在规划编制时应申请详细规划基础数据底版，作为规划编制的依据。</w:t>
      </w:r>
    </w:p>
    <w:p w:rsidR="00BD0664" w:rsidRDefault="00E57421">
      <w:pPr>
        <w:tabs>
          <w:tab w:val="left" w:pos="3055"/>
        </w:tabs>
        <w:spacing w:line="560" w:lineRule="exact"/>
        <w:ind w:firstLineChars="200" w:firstLine="640"/>
        <w:rPr>
          <w:szCs w:val="32"/>
        </w:rPr>
      </w:pPr>
      <w:r>
        <w:rPr>
          <w:szCs w:val="32"/>
        </w:rPr>
        <w:t>2.</w:t>
      </w:r>
      <w:r>
        <w:rPr>
          <w:szCs w:val="32"/>
        </w:rPr>
        <w:t>相关法律法规。说明城市更新单元详细规划所依据的法律、法规、规范和遵循的主要政策文件等。</w:t>
      </w:r>
    </w:p>
    <w:p w:rsidR="00BD0664" w:rsidRDefault="00E57421">
      <w:pPr>
        <w:overflowPunct w:val="0"/>
        <w:spacing w:line="560" w:lineRule="exact"/>
        <w:ind w:firstLineChars="200" w:firstLine="640"/>
        <w:rPr>
          <w:rFonts w:ascii="楷体_GB2312" w:eastAsia="楷体_GB2312"/>
          <w:bCs/>
        </w:rPr>
      </w:pPr>
      <w:bookmarkStart w:id="121" w:name="_Toc26604"/>
      <w:bookmarkStart w:id="122" w:name="_Toc24940"/>
      <w:bookmarkStart w:id="123" w:name="_Toc6746"/>
      <w:bookmarkStart w:id="124" w:name="_Toc42106336"/>
      <w:bookmarkStart w:id="125" w:name="_Toc26227"/>
      <w:bookmarkStart w:id="126" w:name="_Toc33564459"/>
      <w:r>
        <w:rPr>
          <w:rFonts w:ascii="楷体_GB2312" w:eastAsia="楷体_GB2312"/>
          <w:bCs/>
        </w:rPr>
        <w:t>（五）现状基本情况</w:t>
      </w:r>
      <w:bookmarkEnd w:id="121"/>
      <w:bookmarkEnd w:id="122"/>
      <w:bookmarkEnd w:id="123"/>
      <w:bookmarkEnd w:id="124"/>
      <w:bookmarkEnd w:id="125"/>
      <w:bookmarkEnd w:id="126"/>
      <w:r>
        <w:rPr>
          <w:rFonts w:ascii="楷体_GB2312" w:eastAsia="楷体_GB2312" w:hint="eastAsia"/>
          <w:bCs/>
        </w:rPr>
        <w:t>。</w:t>
      </w:r>
    </w:p>
    <w:p w:rsidR="00BD0664" w:rsidRDefault="00E57421">
      <w:pPr>
        <w:tabs>
          <w:tab w:val="left" w:pos="3055"/>
        </w:tabs>
        <w:spacing w:line="560" w:lineRule="exact"/>
        <w:ind w:firstLineChars="200" w:firstLine="640"/>
        <w:rPr>
          <w:szCs w:val="32"/>
        </w:rPr>
      </w:pPr>
      <w:r>
        <w:rPr>
          <w:szCs w:val="32"/>
        </w:rPr>
        <w:t>梳</w:t>
      </w:r>
      <w:r>
        <w:rPr>
          <w:szCs w:val="32"/>
        </w:rPr>
        <w:t>理城市更新单元的自然条件、社会经济和人口情况、土地利用现状、用地权属现状、用地建设开发情况（已纳入</w:t>
      </w:r>
      <w:r>
        <w:rPr>
          <w:rFonts w:hint="eastAsia"/>
          <w:szCs w:val="32"/>
        </w:rPr>
        <w:t>“</w:t>
      </w:r>
      <w:r>
        <w:rPr>
          <w:szCs w:val="32"/>
        </w:rPr>
        <w:t>三旧</w:t>
      </w:r>
      <w:r>
        <w:rPr>
          <w:rFonts w:hint="eastAsia"/>
          <w:szCs w:val="32"/>
        </w:rPr>
        <w:t>”</w:t>
      </w:r>
      <w:r>
        <w:rPr>
          <w:szCs w:val="32"/>
        </w:rPr>
        <w:t>标图建库情况、已完善历史用地手续情况、土地现状地类情况）、现状建筑情况、历史文化遗产情况、公共服务设施与市政基础设施情况、综合交通现状、绿地与开敞空间现状以及其他重要现状（安全隐患等）情况。</w:t>
      </w:r>
    </w:p>
    <w:p w:rsidR="00BD0664" w:rsidRDefault="00E57421">
      <w:pPr>
        <w:overflowPunct w:val="0"/>
        <w:spacing w:line="560" w:lineRule="exact"/>
        <w:ind w:firstLineChars="200" w:firstLine="640"/>
        <w:rPr>
          <w:rFonts w:eastAsia="楷体_GB2312"/>
          <w:bCs/>
        </w:rPr>
      </w:pPr>
      <w:bookmarkStart w:id="127" w:name="_Toc10097"/>
      <w:bookmarkStart w:id="128" w:name="_Toc2164"/>
      <w:bookmarkStart w:id="129" w:name="_Toc28173"/>
      <w:bookmarkStart w:id="130" w:name="_Toc33564460"/>
      <w:bookmarkStart w:id="131" w:name="_Toc42106337"/>
      <w:bookmarkStart w:id="132" w:name="_Toc7296"/>
      <w:r>
        <w:rPr>
          <w:rFonts w:ascii="楷体_GB2312" w:eastAsia="楷体_GB2312"/>
          <w:bCs/>
        </w:rPr>
        <w:t>（六）城市更新单元承载力说明</w:t>
      </w:r>
      <w:bookmarkEnd w:id="127"/>
      <w:bookmarkEnd w:id="128"/>
      <w:bookmarkEnd w:id="129"/>
      <w:bookmarkEnd w:id="130"/>
      <w:bookmarkEnd w:id="131"/>
      <w:bookmarkEnd w:id="132"/>
      <w:r>
        <w:rPr>
          <w:rFonts w:ascii="楷体_GB2312" w:eastAsia="楷体_GB2312" w:hint="eastAsia"/>
          <w:bCs/>
        </w:rPr>
        <w:t>。</w:t>
      </w:r>
    </w:p>
    <w:p w:rsidR="00BD0664" w:rsidRDefault="00E57421">
      <w:pPr>
        <w:spacing w:line="560" w:lineRule="exact"/>
        <w:ind w:firstLineChars="200" w:firstLine="640"/>
        <w:rPr>
          <w:szCs w:val="32"/>
        </w:rPr>
      </w:pPr>
      <w:r>
        <w:rPr>
          <w:szCs w:val="32"/>
        </w:rPr>
        <w:t>结合交通影响、规划环境影响、历史文化遗产影响等评估的结论，对城市更新单元交通、</w:t>
      </w:r>
      <w:r>
        <w:rPr>
          <w:rFonts w:hint="eastAsia"/>
          <w:szCs w:val="32"/>
        </w:rPr>
        <w:t>规划</w:t>
      </w:r>
      <w:r>
        <w:rPr>
          <w:szCs w:val="32"/>
        </w:rPr>
        <w:t>环境、历史文化遗产等承载力条件进行说明。</w:t>
      </w:r>
    </w:p>
    <w:p w:rsidR="00BD0664" w:rsidRDefault="00E57421">
      <w:pPr>
        <w:overflowPunct w:val="0"/>
        <w:spacing w:line="560" w:lineRule="exact"/>
        <w:ind w:firstLineChars="200" w:firstLine="640"/>
        <w:rPr>
          <w:rFonts w:ascii="楷体_GB2312" w:eastAsia="楷体_GB2312"/>
          <w:bCs/>
        </w:rPr>
      </w:pPr>
      <w:bookmarkStart w:id="133" w:name="_Toc42106338"/>
      <w:bookmarkStart w:id="134" w:name="_Toc42106339"/>
      <w:bookmarkStart w:id="135" w:name="_Toc25916"/>
      <w:bookmarkStart w:id="136" w:name="_Toc1345"/>
      <w:bookmarkStart w:id="137" w:name="_Toc11029"/>
      <w:bookmarkStart w:id="138" w:name="_Toc2718"/>
      <w:bookmarkStart w:id="139" w:name="_Toc42106340"/>
      <w:bookmarkStart w:id="140" w:name="_Toc33564461"/>
      <w:bookmarkEnd w:id="133"/>
      <w:bookmarkEnd w:id="134"/>
      <w:r>
        <w:rPr>
          <w:rFonts w:ascii="楷体_GB2312" w:eastAsia="楷体_GB2312"/>
          <w:bCs/>
        </w:rPr>
        <w:t>（七）土地整备</w:t>
      </w:r>
      <w:bookmarkEnd w:id="135"/>
      <w:bookmarkEnd w:id="136"/>
      <w:bookmarkEnd w:id="137"/>
      <w:bookmarkEnd w:id="138"/>
      <w:bookmarkEnd w:id="139"/>
      <w:bookmarkEnd w:id="140"/>
      <w:r>
        <w:rPr>
          <w:rFonts w:ascii="楷体_GB2312" w:eastAsia="楷体_GB2312" w:hint="eastAsia"/>
          <w:bCs/>
        </w:rPr>
        <w:t>。</w:t>
      </w:r>
    </w:p>
    <w:p w:rsidR="00BD0664" w:rsidRDefault="00E57421">
      <w:pPr>
        <w:tabs>
          <w:tab w:val="left" w:pos="3055"/>
        </w:tabs>
        <w:spacing w:line="560" w:lineRule="exact"/>
        <w:ind w:firstLineChars="200" w:firstLine="640"/>
        <w:rPr>
          <w:szCs w:val="32"/>
        </w:rPr>
      </w:pPr>
      <w:r>
        <w:rPr>
          <w:rFonts w:hint="eastAsia"/>
          <w:szCs w:val="32"/>
        </w:rPr>
        <w:t>说明城市更新单元内土地整备的情况（整备方</w:t>
      </w:r>
      <w:r>
        <w:rPr>
          <w:rFonts w:hint="eastAsia"/>
          <w:szCs w:val="32"/>
        </w:rPr>
        <w:t>式、实施主体及实施路径、供地方式等），包括：标图建库、需完善历史用地手续用地、“三地”、需征收的农用地、需整合收购国有用地、需置换的土地、留用地与飞地、无偿交由政府地块等各类用地。</w:t>
      </w:r>
    </w:p>
    <w:p w:rsidR="00BD0664" w:rsidRDefault="00E57421">
      <w:pPr>
        <w:tabs>
          <w:tab w:val="left" w:pos="3055"/>
        </w:tabs>
        <w:spacing w:line="560" w:lineRule="exact"/>
        <w:ind w:firstLineChars="200" w:firstLine="640"/>
        <w:rPr>
          <w:szCs w:val="32"/>
        </w:rPr>
      </w:pPr>
      <w:r>
        <w:rPr>
          <w:rFonts w:hint="eastAsia"/>
          <w:szCs w:val="32"/>
        </w:rPr>
        <w:t>实施土地整备涉及确需修改国土空间总体规划（土地利用总体规划）的，应按照相关政策和文件要求，说明建设用地规模调入、调出情况；涉及农转用的，需明确农转用指标</w:t>
      </w:r>
      <w:r>
        <w:rPr>
          <w:rFonts w:hint="eastAsia"/>
          <w:szCs w:val="32"/>
        </w:rPr>
        <w:lastRenderedPageBreak/>
        <w:t>来源。</w:t>
      </w:r>
    </w:p>
    <w:p w:rsidR="00BD0664" w:rsidRDefault="00E57421">
      <w:pPr>
        <w:tabs>
          <w:tab w:val="left" w:pos="3055"/>
        </w:tabs>
        <w:spacing w:line="560" w:lineRule="exact"/>
        <w:ind w:firstLineChars="200" w:firstLine="640"/>
        <w:rPr>
          <w:szCs w:val="32"/>
        </w:rPr>
      </w:pPr>
      <w:r>
        <w:rPr>
          <w:szCs w:val="32"/>
        </w:rPr>
        <w:t>说明用地处置情况，包括安置用地、融资用地、独立占地的公共服务设施、市政交通设施以及其他公益类设施用地、政府收储用地。</w:t>
      </w:r>
    </w:p>
    <w:p w:rsidR="00BD0664" w:rsidRDefault="00E57421">
      <w:pPr>
        <w:overflowPunct w:val="0"/>
        <w:spacing w:line="560" w:lineRule="exact"/>
        <w:ind w:firstLineChars="200" w:firstLine="640"/>
        <w:rPr>
          <w:rFonts w:eastAsia="楷体_GB2312"/>
          <w:bCs/>
        </w:rPr>
      </w:pPr>
      <w:bookmarkStart w:id="141" w:name="_Toc3923"/>
      <w:bookmarkStart w:id="142" w:name="_Toc5167"/>
      <w:bookmarkStart w:id="143" w:name="_Toc42106341"/>
      <w:bookmarkStart w:id="144" w:name="_Toc33564462"/>
      <w:bookmarkStart w:id="145" w:name="_Toc27519"/>
      <w:bookmarkStart w:id="146" w:name="_Toc11405"/>
      <w:r>
        <w:rPr>
          <w:rFonts w:ascii="楷体_GB2312" w:eastAsia="楷体_GB2312"/>
          <w:bCs/>
        </w:rPr>
        <w:t>（八）城市设计指引</w:t>
      </w:r>
      <w:bookmarkEnd w:id="141"/>
      <w:bookmarkEnd w:id="142"/>
      <w:bookmarkEnd w:id="143"/>
      <w:bookmarkEnd w:id="144"/>
      <w:bookmarkEnd w:id="145"/>
      <w:bookmarkEnd w:id="146"/>
      <w:r>
        <w:rPr>
          <w:rFonts w:ascii="楷体_GB2312" w:eastAsia="楷体_GB2312" w:hint="eastAsia"/>
          <w:bCs/>
        </w:rPr>
        <w:t>。</w:t>
      </w:r>
    </w:p>
    <w:p w:rsidR="00BD0664" w:rsidRDefault="00E57421">
      <w:pPr>
        <w:tabs>
          <w:tab w:val="left" w:pos="3055"/>
        </w:tabs>
        <w:spacing w:line="560" w:lineRule="exact"/>
        <w:ind w:firstLineChars="200" w:firstLine="640"/>
        <w:rPr>
          <w:szCs w:val="32"/>
        </w:rPr>
      </w:pPr>
      <w:r>
        <w:rPr>
          <w:szCs w:val="32"/>
        </w:rPr>
        <w:t>落实上层次规划有关城市设计要求</w:t>
      </w:r>
      <w:r>
        <w:rPr>
          <w:szCs w:val="32"/>
        </w:rPr>
        <w:t>和重点地区城市设计方案要求，针对城市更新单元及其周边地区的建筑高度、天际线、重要景观节点、绿地系统与开敞空间、风廊视廊等重要廊道以及地区特色风貌控制等提出城市设计指引，明确城市设计要素和控制要求。</w:t>
      </w:r>
    </w:p>
    <w:p w:rsidR="00BD0664" w:rsidRDefault="00E57421">
      <w:pPr>
        <w:overflowPunct w:val="0"/>
        <w:spacing w:line="560" w:lineRule="exact"/>
        <w:ind w:firstLineChars="200" w:firstLine="640"/>
        <w:rPr>
          <w:rFonts w:ascii="楷体_GB2312" w:eastAsia="楷体_GB2312"/>
          <w:bCs/>
        </w:rPr>
      </w:pPr>
      <w:bookmarkStart w:id="147" w:name="_Toc33564463"/>
      <w:bookmarkStart w:id="148" w:name="_Toc28058"/>
      <w:bookmarkStart w:id="149" w:name="_Toc4715"/>
      <w:bookmarkStart w:id="150" w:name="_Toc10926"/>
      <w:bookmarkStart w:id="151" w:name="_Toc1906"/>
      <w:bookmarkStart w:id="152" w:name="_Toc42106342"/>
      <w:r>
        <w:rPr>
          <w:rFonts w:ascii="楷体_GB2312" w:eastAsia="楷体_GB2312"/>
          <w:bCs/>
        </w:rPr>
        <w:t>（九）经济</w:t>
      </w:r>
      <w:bookmarkEnd w:id="147"/>
      <w:bookmarkEnd w:id="148"/>
      <w:bookmarkEnd w:id="149"/>
      <w:bookmarkEnd w:id="150"/>
      <w:bookmarkEnd w:id="151"/>
      <w:r>
        <w:rPr>
          <w:rFonts w:ascii="楷体_GB2312" w:eastAsia="楷体_GB2312"/>
          <w:bCs/>
        </w:rPr>
        <w:t>可行性分析</w:t>
      </w:r>
      <w:bookmarkEnd w:id="152"/>
      <w:r>
        <w:rPr>
          <w:rFonts w:ascii="楷体_GB2312" w:eastAsia="楷体_GB2312" w:hint="eastAsia"/>
          <w:bCs/>
        </w:rPr>
        <w:t>。</w:t>
      </w:r>
    </w:p>
    <w:p w:rsidR="00BD0664" w:rsidRDefault="00E57421">
      <w:pPr>
        <w:tabs>
          <w:tab w:val="left" w:pos="3055"/>
        </w:tabs>
        <w:spacing w:line="560" w:lineRule="exact"/>
        <w:ind w:firstLineChars="200" w:firstLine="640"/>
        <w:rPr>
          <w:szCs w:val="32"/>
        </w:rPr>
      </w:pPr>
      <w:r>
        <w:rPr>
          <w:szCs w:val="32"/>
        </w:rPr>
        <w:t>1.</w:t>
      </w:r>
      <w:r>
        <w:rPr>
          <w:szCs w:val="32"/>
        </w:rPr>
        <w:t>成本核算。主要包括前期费用、拆迁费用、复建费用、其他费用、不可预见费和拆迁奖励。依据经区政府认定的现状基础数据调查成果，核算现状建筑面积、复建建筑面积总量，说明现状权益情况。</w:t>
      </w:r>
    </w:p>
    <w:p w:rsidR="00BD0664" w:rsidRDefault="00E57421">
      <w:pPr>
        <w:tabs>
          <w:tab w:val="left" w:pos="3055"/>
        </w:tabs>
        <w:spacing w:line="560" w:lineRule="exact"/>
        <w:ind w:firstLineChars="200" w:firstLine="640"/>
        <w:rPr>
          <w:szCs w:val="32"/>
        </w:rPr>
      </w:pPr>
      <w:r>
        <w:rPr>
          <w:szCs w:val="32"/>
        </w:rPr>
        <w:t>2.</w:t>
      </w:r>
      <w:r>
        <w:rPr>
          <w:szCs w:val="32"/>
        </w:rPr>
        <w:t>融资测算</w:t>
      </w:r>
      <w:r>
        <w:rPr>
          <w:b/>
          <w:szCs w:val="32"/>
        </w:rPr>
        <w:t>。</w:t>
      </w:r>
      <w:r>
        <w:rPr>
          <w:szCs w:val="32"/>
        </w:rPr>
        <w:t>评估融资地块楼面地价，核算融资建筑面积总量、公共服务设施建筑总量等，初步计算政府土地出让收益、政府净收益。</w:t>
      </w:r>
    </w:p>
    <w:p w:rsidR="00BD0664" w:rsidRDefault="00E57421">
      <w:pPr>
        <w:tabs>
          <w:tab w:val="left" w:pos="3055"/>
        </w:tabs>
        <w:spacing w:line="560" w:lineRule="exact"/>
        <w:ind w:firstLineChars="200" w:firstLine="640"/>
        <w:rPr>
          <w:szCs w:val="32"/>
        </w:rPr>
      </w:pPr>
      <w:r>
        <w:rPr>
          <w:szCs w:val="32"/>
        </w:rPr>
        <w:t>3.</w:t>
      </w:r>
      <w:r>
        <w:rPr>
          <w:szCs w:val="32"/>
        </w:rPr>
        <w:t>结论与建议。</w:t>
      </w:r>
    </w:p>
    <w:p w:rsidR="00BD0664" w:rsidRDefault="00E57421">
      <w:pPr>
        <w:overflowPunct w:val="0"/>
        <w:spacing w:line="560" w:lineRule="exact"/>
        <w:ind w:firstLineChars="200" w:firstLine="640"/>
        <w:rPr>
          <w:rFonts w:ascii="楷体_GB2312" w:eastAsia="楷体_GB2312"/>
          <w:bCs/>
        </w:rPr>
      </w:pPr>
      <w:bookmarkStart w:id="153" w:name="_Toc13428"/>
      <w:bookmarkStart w:id="154" w:name="_Toc28418"/>
      <w:bookmarkStart w:id="155" w:name="_Toc16591"/>
      <w:bookmarkStart w:id="156" w:name="_Toc42106343"/>
      <w:bookmarkStart w:id="157" w:name="_Toc1159"/>
      <w:bookmarkStart w:id="158" w:name="_Toc33564464"/>
      <w:r>
        <w:rPr>
          <w:rFonts w:ascii="楷体_GB2312" w:eastAsia="楷体_GB2312"/>
          <w:bCs/>
        </w:rPr>
        <w:t>（十）区域统筹</w:t>
      </w:r>
      <w:bookmarkEnd w:id="153"/>
      <w:bookmarkEnd w:id="154"/>
      <w:bookmarkEnd w:id="155"/>
      <w:bookmarkEnd w:id="156"/>
      <w:bookmarkEnd w:id="157"/>
      <w:bookmarkEnd w:id="158"/>
      <w:r>
        <w:rPr>
          <w:rFonts w:ascii="楷体_GB2312" w:eastAsia="楷体_GB2312" w:hint="eastAsia"/>
          <w:bCs/>
        </w:rPr>
        <w:t>。</w:t>
      </w:r>
    </w:p>
    <w:p w:rsidR="00BD0664" w:rsidRDefault="00E57421">
      <w:pPr>
        <w:tabs>
          <w:tab w:val="left" w:pos="3055"/>
        </w:tabs>
        <w:spacing w:line="560" w:lineRule="exact"/>
        <w:ind w:firstLineChars="202" w:firstLine="646"/>
        <w:rPr>
          <w:szCs w:val="32"/>
        </w:rPr>
      </w:pPr>
      <w:r>
        <w:rPr>
          <w:szCs w:val="32"/>
        </w:rPr>
        <w:t>1.</w:t>
      </w:r>
      <w:r>
        <w:rPr>
          <w:szCs w:val="32"/>
        </w:rPr>
        <w:t>利益统筹。</w:t>
      </w:r>
      <w:r>
        <w:rPr>
          <w:bCs/>
          <w:szCs w:val="32"/>
        </w:rPr>
        <w:t>单个更新项目</w:t>
      </w:r>
      <w:r>
        <w:rPr>
          <w:szCs w:val="32"/>
        </w:rPr>
        <w:t>因用地和规划条件限制无法实现资金平衡的，应首先在城市更新单元内统筹。单元内无法统筹的，可在本区内统筹，或采用货币补偿。</w:t>
      </w:r>
    </w:p>
    <w:p w:rsidR="00BD0664" w:rsidRDefault="00E57421">
      <w:pPr>
        <w:tabs>
          <w:tab w:val="left" w:pos="3055"/>
        </w:tabs>
        <w:spacing w:line="560" w:lineRule="exact"/>
        <w:ind w:firstLineChars="202" w:firstLine="646"/>
        <w:rPr>
          <w:szCs w:val="32"/>
        </w:rPr>
      </w:pPr>
      <w:r>
        <w:rPr>
          <w:szCs w:val="32"/>
        </w:rPr>
        <w:t>需说明统筹平衡情况，包括异地安置、异地容积率补偿、</w:t>
      </w:r>
      <w:r>
        <w:rPr>
          <w:szCs w:val="32"/>
        </w:rPr>
        <w:lastRenderedPageBreak/>
        <w:t>货币补偿等情况。</w:t>
      </w:r>
      <w:r>
        <w:rPr>
          <w:szCs w:val="32"/>
        </w:rPr>
        <w:t xml:space="preserve"> </w:t>
      </w:r>
    </w:p>
    <w:p w:rsidR="00BD0664" w:rsidRDefault="00E57421">
      <w:pPr>
        <w:tabs>
          <w:tab w:val="left" w:pos="3055"/>
        </w:tabs>
        <w:spacing w:line="560" w:lineRule="exact"/>
        <w:ind w:firstLineChars="202" w:firstLine="646"/>
        <w:rPr>
          <w:szCs w:val="32"/>
        </w:rPr>
      </w:pPr>
      <w:r>
        <w:rPr>
          <w:szCs w:val="32"/>
        </w:rPr>
        <w:t>2.</w:t>
      </w:r>
      <w:r>
        <w:rPr>
          <w:rFonts w:ascii="宋体" w:hAnsi="宋体" w:cs="宋体" w:hint="eastAsia"/>
          <w:spacing w:val="-6"/>
          <w:kern w:val="0"/>
          <w:szCs w:val="32"/>
        </w:rPr>
        <w:t>公共服务设施</w:t>
      </w:r>
      <w:r>
        <w:rPr>
          <w:szCs w:val="32"/>
        </w:rPr>
        <w:t>统筹。说明城市更新单元内跨项目的公共通道、绿化空间、教育、医疗等</w:t>
      </w:r>
      <w:r>
        <w:rPr>
          <w:rFonts w:hint="eastAsia"/>
          <w:szCs w:val="32"/>
        </w:rPr>
        <w:t>公共服务设施</w:t>
      </w:r>
      <w:r>
        <w:rPr>
          <w:szCs w:val="32"/>
        </w:rPr>
        <w:t>的处置方案及衔接关系处理方案</w:t>
      </w:r>
      <w:r>
        <w:rPr>
          <w:rFonts w:hint="eastAsia"/>
          <w:szCs w:val="32"/>
        </w:rPr>
        <w:t>，区域统筹的公共服务设施应符合服</w:t>
      </w:r>
      <w:r>
        <w:rPr>
          <w:rFonts w:hint="eastAsia"/>
          <w:szCs w:val="32"/>
        </w:rPr>
        <w:t>务半径要求。</w:t>
      </w:r>
    </w:p>
    <w:p w:rsidR="00BD0664" w:rsidRDefault="00E57421">
      <w:pPr>
        <w:overflowPunct w:val="0"/>
        <w:spacing w:line="560" w:lineRule="exact"/>
        <w:ind w:firstLineChars="200" w:firstLine="640"/>
        <w:rPr>
          <w:rFonts w:ascii="楷体_GB2312" w:eastAsia="楷体_GB2312"/>
          <w:bCs/>
        </w:rPr>
      </w:pPr>
      <w:bookmarkStart w:id="159" w:name="_Toc33564465"/>
      <w:bookmarkStart w:id="160" w:name="_Toc12807"/>
      <w:bookmarkStart w:id="161" w:name="_Toc9281"/>
      <w:bookmarkStart w:id="162" w:name="_Toc9919"/>
      <w:bookmarkStart w:id="163" w:name="_Toc42106344"/>
      <w:bookmarkStart w:id="164" w:name="_Toc6939"/>
      <w:r>
        <w:rPr>
          <w:rFonts w:ascii="楷体_GB2312" w:eastAsia="楷体_GB2312"/>
          <w:bCs/>
        </w:rPr>
        <w:t>（十一）城市更新单元详细规划方案</w:t>
      </w:r>
      <w:bookmarkEnd w:id="159"/>
      <w:bookmarkEnd w:id="160"/>
      <w:bookmarkEnd w:id="161"/>
      <w:bookmarkEnd w:id="162"/>
      <w:bookmarkEnd w:id="163"/>
      <w:bookmarkEnd w:id="164"/>
      <w:r>
        <w:rPr>
          <w:rFonts w:ascii="楷体_GB2312" w:eastAsia="楷体_GB2312" w:hint="eastAsia"/>
          <w:bCs/>
        </w:rPr>
        <w:t>。</w:t>
      </w:r>
    </w:p>
    <w:p w:rsidR="00BD0664" w:rsidRDefault="00E57421">
      <w:pPr>
        <w:tabs>
          <w:tab w:val="left" w:pos="3055"/>
        </w:tabs>
        <w:spacing w:line="560" w:lineRule="exact"/>
        <w:ind w:firstLineChars="202" w:firstLine="646"/>
        <w:rPr>
          <w:szCs w:val="32"/>
        </w:rPr>
      </w:pPr>
      <w:r>
        <w:rPr>
          <w:szCs w:val="32"/>
        </w:rPr>
        <w:t>1.</w:t>
      </w:r>
      <w:r>
        <w:rPr>
          <w:szCs w:val="32"/>
        </w:rPr>
        <w:t>发展定位与主导功能。根据上层次规划要求，梳理城市更新单元与周边地区的功能关系，结合地区发展条件提出城市更新单元整体发展定位与更新目标，明确城市更新单元的主导功能。</w:t>
      </w:r>
    </w:p>
    <w:p w:rsidR="00BD0664" w:rsidRDefault="00E57421">
      <w:pPr>
        <w:tabs>
          <w:tab w:val="left" w:pos="3055"/>
        </w:tabs>
        <w:spacing w:line="560" w:lineRule="exact"/>
        <w:ind w:firstLineChars="200" w:firstLine="640"/>
        <w:rPr>
          <w:szCs w:val="32"/>
        </w:rPr>
      </w:pPr>
      <w:r>
        <w:rPr>
          <w:szCs w:val="32"/>
        </w:rPr>
        <w:t>2.</w:t>
      </w:r>
      <w:r>
        <w:rPr>
          <w:szCs w:val="32"/>
        </w:rPr>
        <w:t>产业发展指引。提出产业转型升级方向、门类选择与发展指引，对接产业区块线，提出产业空间布局，确定建设规模。如涉及已划定的工业产业区块调整的，应提出具体的调整和占补平衡方案。</w:t>
      </w:r>
    </w:p>
    <w:p w:rsidR="00BD0664" w:rsidRDefault="00E57421">
      <w:pPr>
        <w:tabs>
          <w:tab w:val="left" w:pos="3055"/>
        </w:tabs>
        <w:spacing w:line="560" w:lineRule="exact"/>
        <w:ind w:firstLineChars="200" w:firstLine="640"/>
        <w:rPr>
          <w:szCs w:val="32"/>
        </w:rPr>
      </w:pPr>
      <w:r>
        <w:rPr>
          <w:szCs w:val="32"/>
        </w:rPr>
        <w:t>3.</w:t>
      </w:r>
      <w:r>
        <w:rPr>
          <w:szCs w:val="32"/>
        </w:rPr>
        <w:t>土地利用规划方案。提出空间结构与用地布局思路，明确土地利用规划方案，详细说明不同地块的土地使用性质、兼容性与容积率及其他规划控制指标。</w:t>
      </w:r>
      <w:r>
        <w:rPr>
          <w:rFonts w:hint="eastAsia"/>
          <w:szCs w:val="32"/>
        </w:rPr>
        <w:t>说明人才用房的配置情况。</w:t>
      </w:r>
    </w:p>
    <w:p w:rsidR="00BD0664" w:rsidRDefault="00E57421">
      <w:pPr>
        <w:tabs>
          <w:tab w:val="left" w:pos="3055"/>
        </w:tabs>
        <w:spacing w:line="560" w:lineRule="exact"/>
        <w:ind w:firstLineChars="200" w:firstLine="640"/>
        <w:rPr>
          <w:szCs w:val="32"/>
        </w:rPr>
      </w:pPr>
      <w:r>
        <w:rPr>
          <w:szCs w:val="32"/>
        </w:rPr>
        <w:t>4.</w:t>
      </w:r>
      <w:r>
        <w:rPr>
          <w:szCs w:val="32"/>
        </w:rPr>
        <w:t>综合交通规划。衔接周边道路及交通设施规划，结合更新项目用地方案，明确更新单元道路及各类交通设施优化方案，论证交通优化方案的必要性和科学性，对交通影响评估提出各项改善措施的采纳落实情况进行说明。</w:t>
      </w:r>
      <w:r>
        <w:rPr>
          <w:szCs w:val="32"/>
        </w:rPr>
        <w:t xml:space="preserve"> </w:t>
      </w:r>
    </w:p>
    <w:p w:rsidR="00BD0664" w:rsidRDefault="00E57421">
      <w:pPr>
        <w:tabs>
          <w:tab w:val="left" w:pos="3055"/>
        </w:tabs>
        <w:spacing w:line="560" w:lineRule="exact"/>
        <w:ind w:firstLineChars="200" w:firstLine="640"/>
        <w:rPr>
          <w:szCs w:val="32"/>
        </w:rPr>
      </w:pPr>
      <w:r>
        <w:rPr>
          <w:szCs w:val="32"/>
        </w:rPr>
        <w:t>5.</w:t>
      </w:r>
      <w:r>
        <w:rPr>
          <w:szCs w:val="32"/>
        </w:rPr>
        <w:t>公共服务设施与市政基础设施规划</w:t>
      </w:r>
      <w:r>
        <w:rPr>
          <w:rFonts w:eastAsia="宋体"/>
          <w:szCs w:val="32"/>
        </w:rPr>
        <w:t>。</w:t>
      </w:r>
      <w:r>
        <w:rPr>
          <w:szCs w:val="32"/>
        </w:rPr>
        <w:t>明确城市公共服务设施与市政基础设施的种类、数量、分布和规模，落实海</w:t>
      </w:r>
      <w:r>
        <w:rPr>
          <w:szCs w:val="32"/>
        </w:rPr>
        <w:lastRenderedPageBreak/>
        <w:t>绵城市</w:t>
      </w:r>
      <w:r>
        <w:rPr>
          <w:rFonts w:hint="eastAsia"/>
          <w:szCs w:val="32"/>
        </w:rPr>
        <w:t>（含防洪排涝）</w:t>
      </w:r>
      <w:r>
        <w:rPr>
          <w:szCs w:val="32"/>
        </w:rPr>
        <w:t>的规划建设要求，提出</w:t>
      </w:r>
      <w:r>
        <w:rPr>
          <w:bCs/>
          <w:szCs w:val="32"/>
        </w:rPr>
        <w:t>雨水年</w:t>
      </w:r>
      <w:r>
        <w:rPr>
          <w:bCs/>
          <w:szCs w:val="32"/>
        </w:rPr>
        <w:t>径流总量控制率</w:t>
      </w:r>
      <w:r>
        <w:rPr>
          <w:szCs w:val="32"/>
        </w:rPr>
        <w:t>。</w:t>
      </w:r>
    </w:p>
    <w:p w:rsidR="00BD0664" w:rsidRDefault="00E57421">
      <w:pPr>
        <w:widowControl/>
        <w:spacing w:line="560" w:lineRule="exact"/>
        <w:ind w:firstLineChars="200" w:firstLine="640"/>
        <w:jc w:val="left"/>
        <w:rPr>
          <w:szCs w:val="32"/>
        </w:rPr>
      </w:pPr>
      <w:r>
        <w:rPr>
          <w:rFonts w:hint="eastAsia"/>
          <w:szCs w:val="32"/>
        </w:rPr>
        <w:t>关于优质教育资源的配置。应梳理区域内教育设施现状与规划情况，分析区域教育设施需求，</w:t>
      </w:r>
      <w:r>
        <w:rPr>
          <w:rFonts w:hint="eastAsia"/>
        </w:rPr>
        <w:t>结合</w:t>
      </w:r>
      <w:r>
        <w:t>教育</w:t>
      </w:r>
      <w:r>
        <w:rPr>
          <w:rFonts w:hint="eastAsia"/>
        </w:rPr>
        <w:t>专项规划和城市更新单元用地情况，</w:t>
      </w:r>
      <w:r>
        <w:rPr>
          <w:rFonts w:hint="eastAsia"/>
          <w:szCs w:val="32"/>
        </w:rPr>
        <w:t>按照《广州市城乡规划技术规定》</w:t>
      </w:r>
      <w:r>
        <w:rPr>
          <w:rFonts w:hint="eastAsia"/>
          <w:szCs w:val="32"/>
        </w:rPr>
        <w:t>（</w:t>
      </w:r>
      <w:r>
        <w:rPr>
          <w:rFonts w:hint="eastAsia"/>
        </w:rPr>
        <w:t>广州市人民政府令第</w:t>
      </w:r>
      <w:r>
        <w:rPr>
          <w:rFonts w:hint="eastAsia"/>
        </w:rPr>
        <w:t>71</w:t>
      </w:r>
      <w:r>
        <w:rPr>
          <w:rFonts w:hint="eastAsia"/>
        </w:rPr>
        <w:t>号</w:t>
      </w:r>
      <w:r>
        <w:rPr>
          <w:rFonts w:hint="eastAsia"/>
          <w:szCs w:val="32"/>
        </w:rPr>
        <w:t>）</w:t>
      </w:r>
      <w:r>
        <w:rPr>
          <w:rFonts w:hint="eastAsia"/>
          <w:szCs w:val="32"/>
        </w:rPr>
        <w:t>《广州市城市更新单元设施配建指引》，高标准落实教育设施的配建要求，每</w:t>
      </w:r>
      <w:r>
        <w:rPr>
          <w:rFonts w:hint="eastAsia"/>
          <w:szCs w:val="32"/>
        </w:rPr>
        <w:t>10</w:t>
      </w:r>
      <w:r>
        <w:rPr>
          <w:rFonts w:hint="eastAsia"/>
          <w:szCs w:val="32"/>
        </w:rPr>
        <w:t>平方公里原则上应配建一所优质中学。参照我市广州外国语学校（南沙）、广州市执信中学天河校区、广雅中学花都校区、广州市铁一中学白云校区等优质中学成功案例，新建优质中学用地面积原则上不低于</w:t>
      </w:r>
      <w:r>
        <w:rPr>
          <w:rFonts w:hint="eastAsia"/>
          <w:szCs w:val="32"/>
        </w:rPr>
        <w:t>10</w:t>
      </w:r>
      <w:r>
        <w:rPr>
          <w:rFonts w:hint="eastAsia"/>
          <w:szCs w:val="32"/>
        </w:rPr>
        <w:t>公顷，原则上不少于</w:t>
      </w:r>
      <w:r>
        <w:rPr>
          <w:rFonts w:hint="eastAsia"/>
          <w:szCs w:val="32"/>
        </w:rPr>
        <w:t>60</w:t>
      </w:r>
      <w:r>
        <w:rPr>
          <w:rFonts w:hint="eastAsia"/>
          <w:szCs w:val="32"/>
        </w:rPr>
        <w:t>班（初中</w:t>
      </w:r>
      <w:r>
        <w:rPr>
          <w:rFonts w:hint="eastAsia"/>
          <w:szCs w:val="32"/>
        </w:rPr>
        <w:t>30</w:t>
      </w:r>
      <w:r>
        <w:rPr>
          <w:rFonts w:hint="eastAsia"/>
          <w:szCs w:val="32"/>
        </w:rPr>
        <w:t>班、高中</w:t>
      </w:r>
      <w:r>
        <w:rPr>
          <w:rFonts w:hint="eastAsia"/>
          <w:szCs w:val="32"/>
        </w:rPr>
        <w:t>30</w:t>
      </w:r>
      <w:r>
        <w:rPr>
          <w:rFonts w:hint="eastAsia"/>
          <w:szCs w:val="32"/>
        </w:rPr>
        <w:t>班，可根据</w:t>
      </w:r>
      <w:r>
        <w:rPr>
          <w:rFonts w:hint="eastAsia"/>
          <w:szCs w:val="32"/>
        </w:rPr>
        <w:t>实际需求调整），教学科研、宿舍（含学生宿舍、教工宿舍、</w:t>
      </w:r>
      <w:r>
        <w:rPr>
          <w:szCs w:val="32"/>
        </w:rPr>
        <w:t>骨干教师</w:t>
      </w:r>
      <w:r>
        <w:rPr>
          <w:rFonts w:hint="eastAsia"/>
          <w:szCs w:val="32"/>
        </w:rPr>
        <w:t>人才用房）、附属设施建筑面积配比可参照</w:t>
      </w:r>
      <w:r>
        <w:rPr>
          <w:rFonts w:hint="eastAsia"/>
          <w:szCs w:val="32"/>
        </w:rPr>
        <w:t>5:3:2</w:t>
      </w:r>
      <w:r>
        <w:rPr>
          <w:rFonts w:hint="eastAsia"/>
          <w:szCs w:val="32"/>
        </w:rPr>
        <w:t>的比例设置。应配置教学楼、实验楼、行政楼、艺术楼或报告厅、图书馆、体育馆、游泳馆、运动场、饭堂、宿舍、后勤服务及附属保障设施等。</w:t>
      </w:r>
    </w:p>
    <w:p w:rsidR="00BD0664" w:rsidRDefault="00E57421">
      <w:pPr>
        <w:tabs>
          <w:tab w:val="left" w:pos="3055"/>
        </w:tabs>
        <w:spacing w:line="560" w:lineRule="exact"/>
        <w:ind w:firstLineChars="200" w:firstLine="640"/>
        <w:rPr>
          <w:szCs w:val="32"/>
        </w:rPr>
      </w:pPr>
      <w:r>
        <w:rPr>
          <w:szCs w:val="32"/>
        </w:rPr>
        <w:t>6.</w:t>
      </w:r>
      <w:r>
        <w:rPr>
          <w:szCs w:val="32"/>
        </w:rPr>
        <w:t>历史文化遗产保护。落实《广州历史文化名城保护规划》及历史文化遗产保护对象保护规划的有关要求，针对城市更新单元范围内涉及的历史城区、历史文化街区、历史风貌区、历史文化名镇、名村、传统村落、骑楼街以及不可移动文物、历史建筑（含线索）、传统风貌建筑（含线索）、预先保护对象等</w:t>
      </w:r>
      <w:r>
        <w:rPr>
          <w:szCs w:val="32"/>
        </w:rPr>
        <w:t>保护内容，以及其他确有保护价值的对象，明确保护要求和控制要求，提出历史文化遗产保护与利用策略。</w:t>
      </w:r>
    </w:p>
    <w:p w:rsidR="00BD0664" w:rsidRDefault="00E57421">
      <w:pPr>
        <w:tabs>
          <w:tab w:val="left" w:pos="3055"/>
        </w:tabs>
        <w:spacing w:line="560" w:lineRule="exact"/>
        <w:ind w:firstLineChars="200" w:firstLine="640"/>
        <w:rPr>
          <w:bCs/>
          <w:szCs w:val="32"/>
        </w:rPr>
      </w:pPr>
      <w:r>
        <w:rPr>
          <w:bCs/>
          <w:szCs w:val="32"/>
        </w:rPr>
        <w:t>7.</w:t>
      </w:r>
      <w:r>
        <w:rPr>
          <w:bCs/>
          <w:szCs w:val="32"/>
        </w:rPr>
        <w:t>奖励指标。</w:t>
      </w:r>
      <w:r>
        <w:rPr>
          <w:szCs w:val="32"/>
        </w:rPr>
        <w:t>在规划可承载条件下，对无偿提供政府储</w:t>
      </w:r>
      <w:r>
        <w:rPr>
          <w:szCs w:val="32"/>
        </w:rPr>
        <w:lastRenderedPageBreak/>
        <w:t>备用地、超出规定提供</w:t>
      </w:r>
      <w:r>
        <w:rPr>
          <w:rFonts w:hint="eastAsia"/>
          <w:szCs w:val="32"/>
        </w:rPr>
        <w:t>公共服务设施</w:t>
      </w:r>
      <w:r>
        <w:rPr>
          <w:szCs w:val="32"/>
        </w:rPr>
        <w:t>用地或作出历史文化保护贡献的项目按有关政策给予容积率奖励。</w:t>
      </w:r>
    </w:p>
    <w:p w:rsidR="00BD0664" w:rsidRDefault="00E57421">
      <w:pPr>
        <w:overflowPunct w:val="0"/>
        <w:spacing w:line="560" w:lineRule="exact"/>
        <w:ind w:firstLineChars="200" w:firstLine="640"/>
        <w:rPr>
          <w:rFonts w:ascii="楷体_GB2312" w:eastAsia="楷体_GB2312"/>
          <w:bCs/>
        </w:rPr>
      </w:pPr>
      <w:bookmarkStart w:id="165" w:name="_Toc33564466"/>
      <w:bookmarkStart w:id="166" w:name="_Toc16139"/>
      <w:bookmarkStart w:id="167" w:name="_Toc3841"/>
      <w:bookmarkStart w:id="168" w:name="_Toc3787"/>
      <w:bookmarkStart w:id="169" w:name="_Toc19427"/>
      <w:bookmarkStart w:id="170" w:name="_Toc42106345"/>
      <w:r>
        <w:rPr>
          <w:rFonts w:ascii="楷体_GB2312" w:eastAsia="楷体_GB2312"/>
          <w:bCs/>
        </w:rPr>
        <w:t>（十二）分期实施方案</w:t>
      </w:r>
      <w:bookmarkEnd w:id="165"/>
      <w:bookmarkEnd w:id="166"/>
      <w:bookmarkEnd w:id="167"/>
      <w:bookmarkEnd w:id="168"/>
      <w:bookmarkEnd w:id="169"/>
      <w:bookmarkEnd w:id="170"/>
      <w:r>
        <w:rPr>
          <w:rFonts w:ascii="楷体_GB2312" w:eastAsia="楷体_GB2312" w:hint="eastAsia"/>
          <w:bCs/>
        </w:rPr>
        <w:t>。</w:t>
      </w:r>
    </w:p>
    <w:p w:rsidR="00BD0664" w:rsidRDefault="00E57421">
      <w:pPr>
        <w:tabs>
          <w:tab w:val="left" w:pos="3055"/>
        </w:tabs>
        <w:spacing w:line="560" w:lineRule="exact"/>
        <w:ind w:firstLineChars="200" w:firstLine="640"/>
        <w:rPr>
          <w:szCs w:val="32"/>
        </w:rPr>
      </w:pPr>
      <w:r>
        <w:rPr>
          <w:szCs w:val="32"/>
        </w:rPr>
        <w:t>阐明城市更新单元内更新项目的建设时序与分期计划。</w:t>
      </w:r>
    </w:p>
    <w:p w:rsidR="00BD0664" w:rsidRDefault="00E57421">
      <w:pPr>
        <w:tabs>
          <w:tab w:val="left" w:pos="3055"/>
        </w:tabs>
        <w:spacing w:line="560" w:lineRule="exact"/>
        <w:ind w:firstLineChars="200" w:firstLine="640"/>
        <w:rPr>
          <w:szCs w:val="32"/>
        </w:rPr>
      </w:pPr>
      <w:r>
        <w:rPr>
          <w:szCs w:val="32"/>
        </w:rPr>
        <w:t>说明土地</w:t>
      </w:r>
      <w:r>
        <w:rPr>
          <w:rFonts w:hint="eastAsia"/>
          <w:szCs w:val="32"/>
        </w:rPr>
        <w:t>开发</w:t>
      </w:r>
      <w:r>
        <w:rPr>
          <w:szCs w:val="32"/>
        </w:rPr>
        <w:t>、</w:t>
      </w:r>
      <w:r>
        <w:rPr>
          <w:rFonts w:hint="eastAsia"/>
          <w:szCs w:val="32"/>
        </w:rPr>
        <w:t>公共服务设施</w:t>
      </w:r>
      <w:r>
        <w:rPr>
          <w:szCs w:val="32"/>
        </w:rPr>
        <w:t>建设移交的计划。</w:t>
      </w:r>
    </w:p>
    <w:p w:rsidR="00BD0664" w:rsidRDefault="00E57421">
      <w:pPr>
        <w:overflowPunct w:val="0"/>
        <w:spacing w:line="560" w:lineRule="exact"/>
        <w:ind w:firstLineChars="200" w:firstLine="640"/>
        <w:rPr>
          <w:rFonts w:ascii="楷体_GB2312" w:eastAsia="楷体_GB2312"/>
          <w:bCs/>
        </w:rPr>
      </w:pPr>
      <w:bookmarkStart w:id="171" w:name="_Toc42106346"/>
      <w:bookmarkStart w:id="172" w:name="_Toc27203"/>
      <w:bookmarkStart w:id="173" w:name="_Toc33564467"/>
      <w:bookmarkStart w:id="174" w:name="_Toc21098"/>
      <w:bookmarkStart w:id="175" w:name="_Toc1545"/>
      <w:bookmarkStart w:id="176" w:name="_Toc3819"/>
      <w:r>
        <w:rPr>
          <w:rFonts w:ascii="楷体_GB2312" w:eastAsia="楷体_GB2312"/>
          <w:bCs/>
        </w:rPr>
        <w:t>（十三）专项评估</w:t>
      </w:r>
      <w:bookmarkEnd w:id="171"/>
      <w:bookmarkEnd w:id="172"/>
      <w:bookmarkEnd w:id="173"/>
      <w:bookmarkEnd w:id="174"/>
      <w:bookmarkEnd w:id="175"/>
      <w:bookmarkEnd w:id="176"/>
      <w:r>
        <w:rPr>
          <w:rFonts w:ascii="楷体_GB2312" w:eastAsia="楷体_GB2312" w:hint="eastAsia"/>
          <w:bCs/>
        </w:rPr>
        <w:t>。</w:t>
      </w:r>
    </w:p>
    <w:p w:rsidR="00BD0664" w:rsidRDefault="00E57421">
      <w:pPr>
        <w:tabs>
          <w:tab w:val="left" w:pos="3055"/>
        </w:tabs>
        <w:spacing w:line="560" w:lineRule="exact"/>
        <w:ind w:firstLineChars="200" w:firstLine="640"/>
        <w:rPr>
          <w:szCs w:val="32"/>
        </w:rPr>
      </w:pPr>
      <w:r>
        <w:rPr>
          <w:szCs w:val="32"/>
        </w:rPr>
        <w:t>1.</w:t>
      </w:r>
      <w:r>
        <w:rPr>
          <w:szCs w:val="32"/>
        </w:rPr>
        <w:t>交通影响评估。编制交通影响评估报告，评价现状交通供给条件，根据城市更新单元发展规模预测交通需求，说明上层次规划和专项规划相关要求和落实情况。进行交通影响评估并提出相应的交通改善措施，明确交通设施的种类、数量、分布和规模。</w:t>
      </w:r>
    </w:p>
    <w:p w:rsidR="00BD0664" w:rsidRDefault="00E57421">
      <w:pPr>
        <w:tabs>
          <w:tab w:val="left" w:pos="3055"/>
        </w:tabs>
        <w:spacing w:line="560" w:lineRule="exact"/>
        <w:ind w:firstLineChars="200" w:firstLine="640"/>
        <w:rPr>
          <w:szCs w:val="32"/>
        </w:rPr>
      </w:pPr>
      <w:r>
        <w:rPr>
          <w:szCs w:val="32"/>
        </w:rPr>
        <w:t>2.</w:t>
      </w:r>
      <w:r>
        <w:rPr>
          <w:szCs w:val="32"/>
        </w:rPr>
        <w:t>规划环境影响评价。按照《规划环境影响评价条例》</w:t>
      </w:r>
      <w:r>
        <w:rPr>
          <w:rFonts w:hint="eastAsia"/>
          <w:szCs w:val="32"/>
        </w:rPr>
        <w:t>（中华人民共和国国务院令第</w:t>
      </w:r>
      <w:r>
        <w:rPr>
          <w:rFonts w:hint="eastAsia"/>
          <w:szCs w:val="32"/>
        </w:rPr>
        <w:t>559</w:t>
      </w:r>
      <w:r>
        <w:rPr>
          <w:rFonts w:hint="eastAsia"/>
          <w:szCs w:val="32"/>
        </w:rPr>
        <w:t>号</w:t>
      </w:r>
      <w:r>
        <w:rPr>
          <w:rFonts w:hint="eastAsia"/>
          <w:szCs w:val="32"/>
        </w:rPr>
        <w:t>）</w:t>
      </w:r>
      <w:r>
        <w:rPr>
          <w:szCs w:val="32"/>
        </w:rPr>
        <w:t>、有关环境保护标准以及规划环境影响评价技术导则，编制规划环境影响报告书，分析城市更新单元所在区域环境特征（环境空间管控区、饮用水源保护区、环境空气质量功能区等），对规划实施可能造成环境影响进行分析、预</w:t>
      </w:r>
      <w:r>
        <w:rPr>
          <w:szCs w:val="32"/>
        </w:rPr>
        <w:t>测和评估，提出预防或者减轻不良环境影响的对策和措施，明确环境影响评价结论。落实海绵城市建设、绿色城市基础设施、绿色建筑、节水设施等相关要求。</w:t>
      </w:r>
    </w:p>
    <w:p w:rsidR="00BD0664" w:rsidRDefault="00E57421">
      <w:pPr>
        <w:tabs>
          <w:tab w:val="left" w:pos="3055"/>
        </w:tabs>
        <w:spacing w:line="560" w:lineRule="exact"/>
        <w:ind w:firstLineChars="200" w:firstLine="640"/>
        <w:rPr>
          <w:szCs w:val="32"/>
        </w:rPr>
      </w:pPr>
      <w:r>
        <w:rPr>
          <w:szCs w:val="32"/>
        </w:rPr>
        <w:t>3.</w:t>
      </w:r>
      <w:r>
        <w:rPr>
          <w:szCs w:val="32"/>
        </w:rPr>
        <w:t>历史文化遗产影响评估。编制历史文化遗产影响评估报告，明确城市更新单元的历史文化发展特色，挖潜保护资源，提出历史文化保护利用策略，落实各层次保护规划的保护范围、保护要求，提出保护更新与利用措施。应当将历史</w:t>
      </w:r>
      <w:r>
        <w:rPr>
          <w:szCs w:val="32"/>
        </w:rPr>
        <w:lastRenderedPageBreak/>
        <w:t>文化遗产普查成果，以及结合城市更新基础数据调查工作同步开展的历史文化遗产保护对象现场调查评估成果，纳入评估报告。</w:t>
      </w:r>
    </w:p>
    <w:p w:rsidR="00BD0664" w:rsidRDefault="00E57421">
      <w:pPr>
        <w:tabs>
          <w:tab w:val="left" w:pos="3055"/>
        </w:tabs>
        <w:spacing w:line="560" w:lineRule="exact"/>
        <w:ind w:firstLineChars="200" w:firstLine="640"/>
        <w:rPr>
          <w:szCs w:val="32"/>
        </w:rPr>
      </w:pPr>
      <w:r>
        <w:rPr>
          <w:szCs w:val="32"/>
        </w:rPr>
        <w:t>4.</w:t>
      </w:r>
      <w:r>
        <w:rPr>
          <w:szCs w:val="32"/>
        </w:rPr>
        <w:t>安全隐患评估（涉及安全隐患的）。分析城市更新单</w:t>
      </w:r>
      <w:r>
        <w:rPr>
          <w:szCs w:val="32"/>
        </w:rPr>
        <w:t>元内是否存在消防、防洪、通信、燃气、给排水、环卫或其他严重安全隐患，判断进行全面改造的可行性。</w:t>
      </w:r>
    </w:p>
    <w:p w:rsidR="00BD0664" w:rsidRDefault="00E57421">
      <w:pPr>
        <w:tabs>
          <w:tab w:val="left" w:pos="3055"/>
        </w:tabs>
        <w:spacing w:line="560" w:lineRule="exact"/>
        <w:ind w:firstLineChars="200" w:firstLine="640"/>
        <w:rPr>
          <w:szCs w:val="32"/>
        </w:rPr>
      </w:pPr>
      <w:r>
        <w:rPr>
          <w:szCs w:val="32"/>
        </w:rPr>
        <w:t>5.</w:t>
      </w:r>
      <w:r>
        <w:rPr>
          <w:szCs w:val="32"/>
        </w:rPr>
        <w:t>地质环境质量评估（位于地质灾害易发区或涉及不良地质作用的）。分析崩塌、滑坡、泥石流、地面沉降、地面塌陷等地质灾害以及断裂构造、岩溶、软土等不良地质作用的发育特征，评估对更新改造的影响，提出地质灾害和不良地质作用防治对策建议。</w:t>
      </w:r>
    </w:p>
    <w:p w:rsidR="00BD0664" w:rsidRDefault="00E57421">
      <w:pPr>
        <w:tabs>
          <w:tab w:val="left" w:pos="3055"/>
        </w:tabs>
        <w:spacing w:line="560" w:lineRule="exact"/>
        <w:ind w:firstLineChars="200" w:firstLine="640"/>
        <w:rPr>
          <w:szCs w:val="32"/>
        </w:rPr>
      </w:pPr>
      <w:r>
        <w:rPr>
          <w:szCs w:val="32"/>
        </w:rPr>
        <w:t>6.</w:t>
      </w:r>
      <w:r>
        <w:rPr>
          <w:szCs w:val="32"/>
        </w:rPr>
        <w:t>社会风险评估（预判存在重大矛盾的）。评估城市更新项目自然和社会环境状况、相关利益人的意见和诉求、公众参与状况，明确相关政策依据、规划审批程序以及方案对生态环境、社会经济的影响，重点分</w:t>
      </w:r>
      <w:r>
        <w:rPr>
          <w:szCs w:val="32"/>
        </w:rPr>
        <w:t>析查找各风险因素，提出各项风险防范、化解措施，落实各项措施的责任主体和协助单位。</w:t>
      </w:r>
    </w:p>
    <w:p w:rsidR="00BD0664" w:rsidRDefault="00E57421">
      <w:pPr>
        <w:tabs>
          <w:tab w:val="left" w:pos="3055"/>
        </w:tabs>
        <w:spacing w:line="560" w:lineRule="exact"/>
        <w:ind w:firstLineChars="200" w:firstLine="640"/>
        <w:rPr>
          <w:szCs w:val="32"/>
        </w:rPr>
      </w:pPr>
      <w:r>
        <w:rPr>
          <w:szCs w:val="32"/>
        </w:rPr>
        <w:t>7.</w:t>
      </w:r>
      <w:r>
        <w:rPr>
          <w:szCs w:val="32"/>
        </w:rPr>
        <w:t>工程造价评估（涉及其他工程项目纳入改造成本的）。对纳入改造成本的其他工程项目开展工程造价评估。</w:t>
      </w:r>
    </w:p>
    <w:p w:rsidR="00BD0664" w:rsidRDefault="00E57421">
      <w:pPr>
        <w:tabs>
          <w:tab w:val="left" w:pos="3055"/>
        </w:tabs>
        <w:spacing w:line="560" w:lineRule="exact"/>
        <w:ind w:firstLineChars="200" w:firstLine="640"/>
        <w:rPr>
          <w:szCs w:val="32"/>
        </w:rPr>
      </w:pPr>
      <w:r>
        <w:rPr>
          <w:szCs w:val="32"/>
        </w:rPr>
        <w:t>8.</w:t>
      </w:r>
      <w:r>
        <w:rPr>
          <w:szCs w:val="32"/>
        </w:rPr>
        <w:t>其他需要的评估。</w:t>
      </w:r>
    </w:p>
    <w:p w:rsidR="00BD0664" w:rsidRDefault="00E57421">
      <w:pPr>
        <w:overflowPunct w:val="0"/>
        <w:spacing w:line="560" w:lineRule="exact"/>
        <w:ind w:firstLineChars="200" w:firstLine="640"/>
        <w:rPr>
          <w:rFonts w:ascii="楷体_GB2312" w:eastAsia="楷体_GB2312"/>
          <w:bCs/>
        </w:rPr>
      </w:pPr>
      <w:bookmarkStart w:id="177" w:name="_Toc13518"/>
      <w:bookmarkStart w:id="178" w:name="_Toc19759"/>
      <w:bookmarkStart w:id="179" w:name="_Toc33564468"/>
      <w:bookmarkStart w:id="180" w:name="_Toc42106347"/>
      <w:bookmarkStart w:id="181" w:name="_Toc5051"/>
      <w:bookmarkStart w:id="182" w:name="_Toc3502"/>
      <w:r>
        <w:rPr>
          <w:rFonts w:ascii="楷体_GB2312" w:eastAsia="楷体_GB2312"/>
          <w:bCs/>
        </w:rPr>
        <w:t>（十四）附件</w:t>
      </w:r>
      <w:bookmarkEnd w:id="177"/>
      <w:bookmarkEnd w:id="178"/>
      <w:bookmarkEnd w:id="179"/>
      <w:bookmarkEnd w:id="180"/>
      <w:bookmarkEnd w:id="181"/>
      <w:bookmarkEnd w:id="182"/>
      <w:r>
        <w:rPr>
          <w:rFonts w:ascii="楷体_GB2312" w:eastAsia="楷体_GB2312" w:hint="eastAsia"/>
          <w:bCs/>
        </w:rPr>
        <w:t>。</w:t>
      </w:r>
    </w:p>
    <w:p w:rsidR="00BD0664" w:rsidRDefault="00E57421">
      <w:pPr>
        <w:tabs>
          <w:tab w:val="left" w:pos="3055"/>
        </w:tabs>
        <w:spacing w:line="560" w:lineRule="exact"/>
        <w:ind w:firstLineChars="200" w:firstLine="640"/>
        <w:rPr>
          <w:szCs w:val="32"/>
        </w:rPr>
      </w:pPr>
      <w:r>
        <w:rPr>
          <w:szCs w:val="32"/>
        </w:rPr>
        <w:t>包括公示意见处理，以及相关部门和单位针对本规划出具的意见、规划修改和落实结论性意见记录等。</w:t>
      </w:r>
    </w:p>
    <w:p w:rsidR="00BD0664" w:rsidRDefault="00E57421">
      <w:pPr>
        <w:snapToGrid w:val="0"/>
        <w:spacing w:line="560" w:lineRule="exact"/>
        <w:ind w:firstLineChars="200" w:firstLine="640"/>
        <w:rPr>
          <w:rFonts w:eastAsia="黑体"/>
          <w:szCs w:val="32"/>
        </w:rPr>
      </w:pPr>
      <w:bookmarkStart w:id="183" w:name="_Toc33564469"/>
      <w:bookmarkStart w:id="184" w:name="_Toc7529"/>
      <w:bookmarkStart w:id="185" w:name="_Toc9014"/>
      <w:bookmarkStart w:id="186" w:name="_Toc14552"/>
      <w:bookmarkStart w:id="187" w:name="_Toc42106348"/>
      <w:bookmarkStart w:id="188" w:name="_Toc14773"/>
      <w:r>
        <w:rPr>
          <w:rFonts w:eastAsia="黑体"/>
          <w:szCs w:val="32"/>
        </w:rPr>
        <w:t>四、城市更新单元详细规划成果内容与形式</w:t>
      </w:r>
      <w:bookmarkEnd w:id="183"/>
      <w:bookmarkEnd w:id="184"/>
      <w:bookmarkEnd w:id="185"/>
      <w:bookmarkEnd w:id="186"/>
      <w:bookmarkEnd w:id="187"/>
      <w:bookmarkEnd w:id="188"/>
    </w:p>
    <w:p w:rsidR="00BD0664" w:rsidRDefault="00E57421">
      <w:pPr>
        <w:overflowPunct w:val="0"/>
        <w:spacing w:line="560" w:lineRule="exact"/>
        <w:ind w:firstLineChars="200" w:firstLine="640"/>
        <w:rPr>
          <w:rFonts w:ascii="楷体_GB2312" w:eastAsia="楷体_GB2312"/>
          <w:bCs/>
        </w:rPr>
      </w:pPr>
      <w:bookmarkStart w:id="189" w:name="_Toc4732"/>
      <w:bookmarkStart w:id="190" w:name="_Toc33564470"/>
      <w:bookmarkStart w:id="191" w:name="_Toc1271"/>
      <w:bookmarkStart w:id="192" w:name="_Toc1528"/>
      <w:bookmarkStart w:id="193" w:name="_Toc6057"/>
      <w:bookmarkStart w:id="194" w:name="_Toc42106349"/>
      <w:r>
        <w:rPr>
          <w:rFonts w:ascii="楷体_GB2312" w:eastAsia="楷体_GB2312"/>
          <w:bCs/>
        </w:rPr>
        <w:lastRenderedPageBreak/>
        <w:t>（一）技术文件</w:t>
      </w:r>
      <w:bookmarkEnd w:id="189"/>
      <w:bookmarkEnd w:id="190"/>
      <w:bookmarkEnd w:id="191"/>
      <w:bookmarkEnd w:id="192"/>
      <w:bookmarkEnd w:id="193"/>
      <w:bookmarkEnd w:id="194"/>
      <w:r>
        <w:rPr>
          <w:rFonts w:ascii="楷体_GB2312" w:eastAsia="楷体_GB2312" w:hint="eastAsia"/>
          <w:bCs/>
        </w:rPr>
        <w:t>。</w:t>
      </w:r>
    </w:p>
    <w:p w:rsidR="00BD0664" w:rsidRDefault="00E57421">
      <w:pPr>
        <w:tabs>
          <w:tab w:val="left" w:pos="3055"/>
        </w:tabs>
        <w:spacing w:line="560" w:lineRule="exact"/>
        <w:ind w:firstLineChars="200" w:firstLine="640"/>
        <w:rPr>
          <w:szCs w:val="32"/>
        </w:rPr>
      </w:pPr>
      <w:r>
        <w:rPr>
          <w:szCs w:val="32"/>
        </w:rPr>
        <w:t>城市更新单元详细规划技术文件包括规划说明书、方案图集和专项评估。</w:t>
      </w:r>
    </w:p>
    <w:p w:rsidR="00BD0664" w:rsidRDefault="00E57421">
      <w:pPr>
        <w:spacing w:line="560" w:lineRule="exact"/>
        <w:ind w:firstLineChars="202" w:firstLine="646"/>
        <w:rPr>
          <w:szCs w:val="32"/>
        </w:rPr>
      </w:pPr>
      <w:r>
        <w:rPr>
          <w:szCs w:val="32"/>
        </w:rPr>
        <w:t>1.</w:t>
      </w:r>
      <w:r>
        <w:rPr>
          <w:szCs w:val="32"/>
        </w:rPr>
        <w:t>规划说明书。包括前言、区位分析、城市更新单元划定、规划依据、现状基本情况、城市更新单元敏感性条件说明、土地整备、城市设计指引、经济可行性分析、区域统筹、城市更新单元详细规划方案、海绵设计专篇、分期实施方案、专项评估结论。</w:t>
      </w:r>
      <w:r>
        <w:rPr>
          <w:szCs w:val="32"/>
        </w:rPr>
        <w:t xml:space="preserve"> </w:t>
      </w:r>
    </w:p>
    <w:p w:rsidR="00BD0664" w:rsidRDefault="00E57421">
      <w:pPr>
        <w:spacing w:line="560" w:lineRule="exact"/>
        <w:ind w:firstLineChars="202" w:firstLine="646"/>
        <w:rPr>
          <w:szCs w:val="32"/>
        </w:rPr>
      </w:pPr>
      <w:r>
        <w:rPr>
          <w:szCs w:val="32"/>
        </w:rPr>
        <w:t>2.</w:t>
      </w:r>
      <w:r>
        <w:rPr>
          <w:szCs w:val="32"/>
        </w:rPr>
        <w:t>方案图集。包括区域位置图、更新项目范围图、更新单元范围图、上层次规划图、土地利用现状图、用地权属情况分析图、改造方式分区图、土地整备方案图、</w:t>
      </w:r>
      <w:r>
        <w:rPr>
          <w:rFonts w:ascii="仿宋_GB2312" w:hAnsi="仿宋_GB2312" w:cs="仿宋_GB2312" w:hint="eastAsia"/>
          <w:szCs w:val="32"/>
        </w:rPr>
        <w:t>“</w:t>
      </w:r>
      <w:r>
        <w:rPr>
          <w:szCs w:val="32"/>
        </w:rPr>
        <w:t>三地</w:t>
      </w:r>
      <w:r>
        <w:rPr>
          <w:rFonts w:ascii="仿宋_GB2312" w:hAnsi="仿宋_GB2312" w:cs="仿宋_GB2312" w:hint="eastAsia"/>
          <w:szCs w:val="32"/>
        </w:rPr>
        <w:t>”</w:t>
      </w:r>
      <w:r>
        <w:rPr>
          <w:szCs w:val="32"/>
        </w:rPr>
        <w:t>处置方案图、标图建库处置方案图、完善历史用地手续方案图、农转用方案图、留用地布局图、飞地处置方案图、用地布局规划图、城市设计指引图、</w:t>
      </w:r>
      <w:r>
        <w:rPr>
          <w:szCs w:val="32"/>
        </w:rPr>
        <w:t>项目地块划分与指标控制图、综合交通规划图、市政基础设施规划图、各专项规划图以及分期建设时序图等。</w:t>
      </w:r>
    </w:p>
    <w:p w:rsidR="00BD0664" w:rsidRDefault="00E57421">
      <w:pPr>
        <w:tabs>
          <w:tab w:val="left" w:pos="3055"/>
        </w:tabs>
        <w:spacing w:line="560" w:lineRule="exact"/>
        <w:ind w:firstLineChars="200" w:firstLine="640"/>
        <w:rPr>
          <w:szCs w:val="32"/>
        </w:rPr>
      </w:pPr>
      <w:r>
        <w:rPr>
          <w:szCs w:val="32"/>
        </w:rPr>
        <w:t>3.</w:t>
      </w:r>
      <w:r>
        <w:rPr>
          <w:szCs w:val="32"/>
        </w:rPr>
        <w:t>专项评估。包括交通影响评估、规划环境影响评价、历史文化遗产影响评估、安全隐患评估（涉及安全隐患的）、地质环境质量评估（位于地质灾害易发区或涉及不良地质作用的）、社会风险评估（预判存在重大矛盾的）、工程造价评估（涉及其他工程项目纳入改造成本的）以及其他需要的评估。</w:t>
      </w:r>
    </w:p>
    <w:p w:rsidR="00BD0664" w:rsidRDefault="00E57421">
      <w:pPr>
        <w:overflowPunct w:val="0"/>
        <w:spacing w:line="560" w:lineRule="exact"/>
        <w:ind w:firstLineChars="200" w:firstLine="640"/>
        <w:rPr>
          <w:rFonts w:ascii="楷体_GB2312" w:eastAsia="楷体_GB2312"/>
          <w:bCs/>
        </w:rPr>
      </w:pPr>
      <w:bookmarkStart w:id="195" w:name="_Toc28341"/>
      <w:bookmarkStart w:id="196" w:name="_Toc42106350"/>
      <w:bookmarkStart w:id="197" w:name="_Toc17303"/>
      <w:bookmarkStart w:id="198" w:name="_Toc26087"/>
      <w:bookmarkStart w:id="199" w:name="_Toc5875"/>
      <w:bookmarkStart w:id="200" w:name="_Toc33564472"/>
      <w:r>
        <w:rPr>
          <w:rFonts w:ascii="楷体_GB2312" w:eastAsia="楷体_GB2312"/>
          <w:bCs/>
        </w:rPr>
        <w:t>（二）法定文件</w:t>
      </w:r>
      <w:bookmarkEnd w:id="195"/>
      <w:bookmarkEnd w:id="196"/>
      <w:bookmarkEnd w:id="197"/>
      <w:bookmarkEnd w:id="198"/>
      <w:bookmarkEnd w:id="199"/>
      <w:bookmarkEnd w:id="200"/>
      <w:r>
        <w:rPr>
          <w:rFonts w:ascii="楷体_GB2312" w:eastAsia="楷体_GB2312" w:hint="eastAsia"/>
          <w:bCs/>
        </w:rPr>
        <w:t>。</w:t>
      </w:r>
    </w:p>
    <w:p w:rsidR="00BD0664" w:rsidRDefault="00E57421">
      <w:pPr>
        <w:spacing w:line="560" w:lineRule="exact"/>
        <w:ind w:firstLineChars="202" w:firstLine="646"/>
        <w:rPr>
          <w:szCs w:val="32"/>
        </w:rPr>
      </w:pPr>
      <w:r>
        <w:rPr>
          <w:szCs w:val="32"/>
        </w:rPr>
        <w:t>1.</w:t>
      </w:r>
      <w:r>
        <w:rPr>
          <w:szCs w:val="32"/>
        </w:rPr>
        <w:t>文本。文本包括总则、城市更新单元发展目标、土地</w:t>
      </w:r>
      <w:r>
        <w:rPr>
          <w:szCs w:val="32"/>
        </w:rPr>
        <w:lastRenderedPageBreak/>
        <w:t>利用规划、综合交通规划、公共服务设施与市政基础设施规划、城市设计指引、绿地与开</w:t>
      </w:r>
      <w:r>
        <w:rPr>
          <w:szCs w:val="32"/>
        </w:rPr>
        <w:t>敞空间规划、历史文化保护规划、环境保护规划、城市更新单元管制、实施规定。</w:t>
      </w:r>
    </w:p>
    <w:p w:rsidR="00BD0664" w:rsidRDefault="00E57421">
      <w:pPr>
        <w:spacing w:line="560" w:lineRule="exact"/>
        <w:ind w:firstLineChars="202" w:firstLine="646"/>
        <w:rPr>
          <w:szCs w:val="32"/>
        </w:rPr>
      </w:pPr>
      <w:r>
        <w:rPr>
          <w:szCs w:val="32"/>
        </w:rPr>
        <w:t>2.</w:t>
      </w:r>
      <w:r>
        <w:rPr>
          <w:szCs w:val="32"/>
        </w:rPr>
        <w:t>城市更新单元导则。包括用地布局管控图、底线约束管控图、更新单元划分示意图、单元规划控制图、单元指标体系一览表、地块规划控制图、地块指标体系一览表。</w:t>
      </w:r>
    </w:p>
    <w:p w:rsidR="00BD0664" w:rsidRDefault="00E57421">
      <w:pPr>
        <w:overflowPunct w:val="0"/>
        <w:spacing w:line="560" w:lineRule="exact"/>
        <w:ind w:firstLineChars="200" w:firstLine="640"/>
        <w:rPr>
          <w:rFonts w:ascii="楷体_GB2312" w:eastAsia="楷体_GB2312"/>
          <w:bCs/>
        </w:rPr>
      </w:pPr>
      <w:bookmarkStart w:id="201" w:name="_Toc42106351"/>
      <w:bookmarkStart w:id="202" w:name="_Toc29324"/>
      <w:bookmarkStart w:id="203" w:name="_Toc2942"/>
      <w:bookmarkStart w:id="204" w:name="_Toc13741"/>
      <w:bookmarkStart w:id="205" w:name="_Toc25187"/>
      <w:bookmarkStart w:id="206" w:name="_Toc33564473"/>
      <w:r>
        <w:rPr>
          <w:rFonts w:ascii="楷体_GB2312" w:eastAsia="楷体_GB2312"/>
          <w:bCs/>
        </w:rPr>
        <w:t>（三）成果形式</w:t>
      </w:r>
      <w:bookmarkEnd w:id="201"/>
      <w:bookmarkEnd w:id="202"/>
      <w:bookmarkEnd w:id="203"/>
      <w:bookmarkEnd w:id="204"/>
      <w:bookmarkEnd w:id="205"/>
      <w:bookmarkEnd w:id="206"/>
      <w:r>
        <w:rPr>
          <w:rFonts w:ascii="楷体_GB2312" w:eastAsia="楷体_GB2312" w:hint="eastAsia"/>
          <w:bCs/>
        </w:rPr>
        <w:t>。</w:t>
      </w:r>
    </w:p>
    <w:p w:rsidR="00BD0664" w:rsidRDefault="00E57421">
      <w:pPr>
        <w:spacing w:line="560" w:lineRule="exact"/>
        <w:ind w:firstLineChars="202" w:firstLine="646"/>
        <w:rPr>
          <w:szCs w:val="32"/>
        </w:rPr>
      </w:pPr>
      <w:r>
        <w:rPr>
          <w:szCs w:val="32"/>
        </w:rPr>
        <w:t>1.</w:t>
      </w:r>
      <w:r>
        <w:rPr>
          <w:szCs w:val="32"/>
        </w:rPr>
        <w:t>书面成果。</w:t>
      </w:r>
      <w:bookmarkStart w:id="207" w:name="_Hlk19131773"/>
      <w:r>
        <w:rPr>
          <w:szCs w:val="32"/>
        </w:rPr>
        <w:t>规划说明书（包括专项）采用</w:t>
      </w:r>
      <w:r>
        <w:rPr>
          <w:szCs w:val="32"/>
        </w:rPr>
        <w:t>A4</w:t>
      </w:r>
      <w:r>
        <w:rPr>
          <w:szCs w:val="32"/>
        </w:rPr>
        <w:t>幅面；方案图纸应按整比例采用</w:t>
      </w:r>
      <w:r>
        <w:rPr>
          <w:szCs w:val="32"/>
        </w:rPr>
        <w:t>A3</w:t>
      </w:r>
      <w:r>
        <w:rPr>
          <w:szCs w:val="32"/>
        </w:rPr>
        <w:t>幅面。</w:t>
      </w:r>
    </w:p>
    <w:bookmarkEnd w:id="207"/>
    <w:p w:rsidR="00BD0664" w:rsidRDefault="00E57421">
      <w:pPr>
        <w:spacing w:line="560" w:lineRule="exact"/>
        <w:ind w:firstLineChars="202" w:firstLine="646"/>
        <w:rPr>
          <w:szCs w:val="32"/>
        </w:rPr>
      </w:pPr>
      <w:r>
        <w:rPr>
          <w:szCs w:val="32"/>
        </w:rPr>
        <w:t>2.</w:t>
      </w:r>
      <w:r>
        <w:rPr>
          <w:szCs w:val="32"/>
        </w:rPr>
        <w:t>电子数据成果</w:t>
      </w:r>
      <w:bookmarkStart w:id="208" w:name="_Hlk19131748"/>
      <w:r>
        <w:rPr>
          <w:szCs w:val="32"/>
        </w:rPr>
        <w:t>。电子数据成果的文本正文采用</w:t>
      </w:r>
      <w:r>
        <w:rPr>
          <w:szCs w:val="32"/>
        </w:rPr>
        <w:t>word</w:t>
      </w:r>
      <w:r>
        <w:rPr>
          <w:szCs w:val="32"/>
        </w:rPr>
        <w:t>格式或</w:t>
      </w:r>
      <w:r>
        <w:rPr>
          <w:szCs w:val="32"/>
        </w:rPr>
        <w:t>pdf</w:t>
      </w:r>
      <w:r>
        <w:rPr>
          <w:szCs w:val="32"/>
        </w:rPr>
        <w:t>格式；图则</w:t>
      </w:r>
      <w:bookmarkEnd w:id="208"/>
      <w:r>
        <w:rPr>
          <w:szCs w:val="32"/>
        </w:rPr>
        <w:t>采用</w:t>
      </w:r>
      <w:r>
        <w:rPr>
          <w:szCs w:val="32"/>
        </w:rPr>
        <w:t>jpg</w:t>
      </w:r>
      <w:r>
        <w:rPr>
          <w:szCs w:val="32"/>
        </w:rPr>
        <w:t>格式，同时附上</w:t>
      </w:r>
      <w:r>
        <w:rPr>
          <w:szCs w:val="32"/>
        </w:rPr>
        <w:t>dwg</w:t>
      </w:r>
      <w:r>
        <w:rPr>
          <w:szCs w:val="32"/>
        </w:rPr>
        <w:t>和</w:t>
      </w:r>
      <w:r>
        <w:rPr>
          <w:szCs w:val="32"/>
        </w:rPr>
        <w:t>ArcGIS</w:t>
      </w:r>
      <w:r>
        <w:rPr>
          <w:szCs w:val="32"/>
        </w:rPr>
        <w:t>文件地理数据库或个人地理数据库格式的矢量文件（</w:t>
      </w:r>
      <w:r>
        <w:rPr>
          <w:szCs w:val="32"/>
        </w:rPr>
        <w:t>2000</w:t>
      </w:r>
      <w:r>
        <w:rPr>
          <w:szCs w:val="32"/>
        </w:rPr>
        <w:t>国家大地坐标</w:t>
      </w:r>
      <w:r>
        <w:rPr>
          <w:szCs w:val="32"/>
        </w:rPr>
        <w:t>系和广州</w:t>
      </w:r>
      <w:r>
        <w:rPr>
          <w:szCs w:val="32"/>
        </w:rPr>
        <w:t>2000</w:t>
      </w:r>
      <w:r>
        <w:rPr>
          <w:szCs w:val="32"/>
        </w:rPr>
        <w:t>坐标系）。成果应符合市规划和自然资源</w:t>
      </w:r>
      <w:r>
        <w:rPr>
          <w:rFonts w:hint="eastAsia"/>
          <w:szCs w:val="32"/>
        </w:rPr>
        <w:t>行政</w:t>
      </w:r>
      <w:r>
        <w:rPr>
          <w:szCs w:val="32"/>
        </w:rPr>
        <w:t>主管部门有关规划成果电子报批和管理的格式要求，应同步使用</w:t>
      </w:r>
      <w:r>
        <w:rPr>
          <w:rFonts w:ascii="仿宋_GB2312" w:hAnsi="仿宋_GB2312" w:cs="仿宋_GB2312" w:hint="eastAsia"/>
          <w:szCs w:val="32"/>
        </w:rPr>
        <w:t>“</w:t>
      </w:r>
      <w:r>
        <w:rPr>
          <w:szCs w:val="32"/>
        </w:rPr>
        <w:t>控规通</w:t>
      </w:r>
      <w:r>
        <w:rPr>
          <w:rFonts w:ascii="宋体" w:eastAsia="宋体" w:hAnsi="宋体" w:cs="宋体" w:hint="eastAsia"/>
          <w:szCs w:val="32"/>
        </w:rPr>
        <w:t>”</w:t>
      </w:r>
      <w:r>
        <w:rPr>
          <w:szCs w:val="32"/>
        </w:rPr>
        <w:t>标准编制软件编制符合格式要求的</w:t>
      </w:r>
      <w:r>
        <w:rPr>
          <w:rFonts w:ascii="仿宋_GB2312" w:hAnsi="仿宋_GB2312" w:cs="仿宋_GB2312" w:hint="eastAsia"/>
          <w:szCs w:val="32"/>
        </w:rPr>
        <w:t>详细规划上网文件，成果审批完成后纳入国土空间详细规划“一张图”</w:t>
      </w:r>
      <w:r>
        <w:rPr>
          <w:szCs w:val="32"/>
        </w:rPr>
        <w:t>。</w:t>
      </w:r>
    </w:p>
    <w:p w:rsidR="00BD0664" w:rsidRDefault="00BD0664">
      <w:pPr>
        <w:spacing w:line="560" w:lineRule="exact"/>
        <w:ind w:firstLineChars="221" w:firstLine="707"/>
        <w:rPr>
          <w:szCs w:val="32"/>
        </w:rPr>
      </w:pPr>
      <w:bookmarkStart w:id="209" w:name="_Toc42106356"/>
      <w:bookmarkStart w:id="210" w:name="_Toc42106355"/>
      <w:bookmarkEnd w:id="209"/>
      <w:bookmarkEnd w:id="210"/>
    </w:p>
    <w:p w:rsidR="00BD0664" w:rsidRDefault="00E57421">
      <w:pPr>
        <w:spacing w:line="560" w:lineRule="exact"/>
        <w:ind w:firstLineChars="221" w:firstLine="707"/>
      </w:pPr>
      <w:r>
        <w:rPr>
          <w:szCs w:val="32"/>
        </w:rPr>
        <w:t>附件：</w:t>
      </w:r>
      <w:r>
        <w:rPr>
          <w:bCs/>
          <w:szCs w:val="32"/>
        </w:rPr>
        <w:t>广州市城市更新单元详细规划成果模板</w:t>
      </w:r>
    </w:p>
    <w:sectPr w:rsidR="00BD06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21" w:rsidRDefault="00E57421">
      <w:r>
        <w:separator/>
      </w:r>
    </w:p>
  </w:endnote>
  <w:endnote w:type="continuationSeparator" w:id="0">
    <w:p w:rsidR="00E57421" w:rsidRDefault="00E5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w:altName w:val="微软雅黑"/>
    <w:charset w:val="7A"/>
    <w:family w:val="auto"/>
    <w:pitch w:val="default"/>
    <w:sig w:usb0="00000000" w:usb1="00000000" w:usb2="00000016" w:usb3="00000000" w:csb0="0004000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64" w:rsidRDefault="00E5742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0664" w:rsidRDefault="00E57421">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3470C">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itYgIAAAwFAAAOAAAAZHJzL2Uyb0RvYy54bWysVM1uEzEQviPxDpbvdNOiVl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UZzitYgIAAAwFAAAOAAAAAAAAAAAAAAAAAC4CAABkcnMvZTJvRG9jLnht&#10;bFBLAQItABQABgAIAAAAIQBxqtG51wAAAAUBAAAPAAAAAAAAAAAAAAAAALwEAABkcnMvZG93bnJl&#10;di54bWxQSwUGAAAAAAQABADzAAAAwAUAAAAA&#10;" filled="f" stroked="f" strokeweight=".5pt">
              <v:textbox style="mso-fit-shape-to-text:t" inset="0,0,0,0">
                <w:txbxContent>
                  <w:p w:rsidR="00BD0664" w:rsidRDefault="00E57421">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3470C">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21" w:rsidRDefault="00E57421">
      <w:r>
        <w:separator/>
      </w:r>
    </w:p>
  </w:footnote>
  <w:footnote w:type="continuationSeparator" w:id="0">
    <w:p w:rsidR="00E57421" w:rsidRDefault="00E57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5337F0"/>
    <w:rsid w:val="0013470C"/>
    <w:rsid w:val="00BD0664"/>
    <w:rsid w:val="00E57421"/>
    <w:rsid w:val="12805DCC"/>
    <w:rsid w:val="15B77216"/>
    <w:rsid w:val="245337F0"/>
    <w:rsid w:val="2D5800B1"/>
    <w:rsid w:val="31C173AE"/>
    <w:rsid w:val="32741A4D"/>
    <w:rsid w:val="3B127607"/>
    <w:rsid w:val="4A1F5A9C"/>
    <w:rsid w:val="4C9F6064"/>
    <w:rsid w:val="78BE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C9FED-DA8C-448B-BBF6-6E6370C9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paragraph" w:styleId="1">
    <w:name w:val="heading 1"/>
    <w:basedOn w:val="a"/>
    <w:next w:val="a"/>
    <w:qFormat/>
    <w:pPr>
      <w:keepNext/>
      <w:keepLines/>
      <w:spacing w:line="600" w:lineRule="exact"/>
      <w:jc w:val="center"/>
      <w:outlineLvl w:val="0"/>
    </w:pPr>
    <w:rPr>
      <w:rFonts w:ascii="等线" w:eastAsia="方正小标宋简体" w:hAnsi="等线"/>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1065</Words>
  <Characters>6073</Characters>
  <Application>Microsoft Office Word</Application>
  <DocSecurity>0</DocSecurity>
  <Lines>50</Lines>
  <Paragraphs>14</Paragraphs>
  <ScaleCrop>false</ScaleCrop>
  <Company>Microsoft</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周志炫</dc:creator>
  <cp:lastModifiedBy>Windows</cp:lastModifiedBy>
  <cp:revision>2</cp:revision>
  <dcterms:created xsi:type="dcterms:W3CDTF">2020-11-25T01:35:00Z</dcterms:created>
  <dcterms:modified xsi:type="dcterms:W3CDTF">2020-11-25T01:35:00Z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